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01C34" w14:textId="0D15B950" w:rsidR="001E5DDB" w:rsidRPr="001E5DDB" w:rsidRDefault="00901754" w:rsidP="001E5DDB">
      <w:pPr>
        <w:rPr>
          <w:lang w:val="en-GB" w:bidi="en-US"/>
        </w:rPr>
      </w:pPr>
      <w:r>
        <w:rPr>
          <w:lang w:bidi="en-US"/>
        </w:rPr>
        <w:br/>
      </w:r>
      <w:r w:rsidR="001E5DDB" w:rsidRPr="001E5DDB">
        <w:rPr>
          <w:lang w:val="en-GB" w:bidi="en-US"/>
        </w:rPr>
        <w:t xml:space="preserve">This form is made for the use and purpose of section 38 and 39 of the </w:t>
      </w:r>
      <w:r w:rsidR="001E5DDB" w:rsidRPr="001E5DDB">
        <w:rPr>
          <w:i/>
          <w:iCs/>
          <w:lang w:val="en-GB" w:bidi="en-US"/>
        </w:rPr>
        <w:t>Building Act 1975</w:t>
      </w:r>
      <w:r w:rsidR="001E5DDB" w:rsidRPr="001E5DDB">
        <w:rPr>
          <w:lang w:val="en-GB" w:bidi="en-US"/>
        </w:rPr>
        <w:t>, whereby a person can apply to the chief executive to vary how a provision applies to building work</w:t>
      </w:r>
      <w:r w:rsidR="00F21704">
        <w:rPr>
          <w:lang w:val="en-GB" w:bidi="en-US"/>
        </w:rPr>
        <w:t>.</w:t>
      </w:r>
    </w:p>
    <w:p w14:paraId="12732B6D" w14:textId="1572F820" w:rsidR="00A958BB" w:rsidRPr="000877DD" w:rsidRDefault="001E5DDB" w:rsidP="001E5DDB">
      <w:pPr>
        <w:rPr>
          <w:b/>
          <w:bCs/>
          <w:lang w:val="en-US" w:bidi="en-US"/>
        </w:rPr>
      </w:pPr>
      <w:r w:rsidRPr="001E5DDB">
        <w:rPr>
          <w:lang w:val="en-GB" w:bidi="en-US"/>
        </w:rPr>
        <w:t>Explanatory information about how to complete this form is in the Appendix at the end of this form</w:t>
      </w:r>
      <w:r w:rsidR="00F21704">
        <w:rPr>
          <w:lang w:val="en-GB" w:bidi="en-US"/>
        </w:rPr>
        <w:t>.</w:t>
      </w:r>
      <w:r w:rsidR="001204C3">
        <w:rPr>
          <w:lang w:bidi="en-US"/>
        </w:rPr>
        <w:br/>
      </w:r>
    </w:p>
    <w:p w14:paraId="1112E3A8" w14:textId="77777777" w:rsidR="001E5DDB" w:rsidRPr="001E5DDB" w:rsidRDefault="001E5DDB" w:rsidP="001E5DDB">
      <w:pPr>
        <w:pStyle w:val="Heading4"/>
        <w:rPr>
          <w:bCs/>
          <w:lang w:val="en-GB"/>
        </w:rPr>
      </w:pPr>
      <w:r>
        <w:t>1</w:t>
      </w:r>
      <w:r w:rsidR="00E44618">
        <w:t xml:space="preserve">. </w:t>
      </w:r>
      <w:r w:rsidRPr="001E5DDB">
        <w:rPr>
          <w:bCs/>
          <w:lang w:val="en-GB"/>
        </w:rPr>
        <w:t>Applicant’s details</w:t>
      </w:r>
    </w:p>
    <w:p w14:paraId="064FC051" w14:textId="77777777" w:rsidR="001E5DDB" w:rsidRPr="001E5DDB" w:rsidRDefault="001E5DDB" w:rsidP="001E5DDB">
      <w:pPr>
        <w:rPr>
          <w:lang w:val="en-GB" w:bidi="en-US"/>
        </w:rPr>
      </w:pPr>
      <w:r w:rsidRPr="001E5DDB">
        <w:rPr>
          <w:lang w:val="en-GB" w:bidi="en-US"/>
        </w:rPr>
        <w:t>If the applicant is a company, a contact person must be shown.</w:t>
      </w:r>
    </w:p>
    <w:p w14:paraId="3E3224C4" w14:textId="3C918C56" w:rsidR="00901754" w:rsidRDefault="001E5DDB" w:rsidP="001E5DDB">
      <w:pPr>
        <w:rPr>
          <w:lang w:bidi="en-US"/>
        </w:rPr>
      </w:pPr>
      <w:r w:rsidRPr="001E5DDB">
        <w:rPr>
          <w:lang w:val="en-GB" w:bidi="en-US"/>
        </w:rPr>
        <w:t>All correspondence will be mailed to this address</w:t>
      </w:r>
      <w:r w:rsidRPr="001E5DDB">
        <w:rPr>
          <w:b/>
          <w:bCs/>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EF6630" w:rsidRPr="00EF6630" w14:paraId="438DAF06" w14:textId="77777777" w:rsidTr="00AD3BF6">
        <w:trPr>
          <w:trHeight w:val="384"/>
        </w:trPr>
        <w:tc>
          <w:tcPr>
            <w:tcW w:w="2835" w:type="dxa"/>
            <w:tcBorders>
              <w:bottom w:val="single" w:sz="8" w:space="0" w:color="7F7F7F" w:themeColor="text1" w:themeTint="80"/>
            </w:tcBorders>
            <w:vAlign w:val="center"/>
          </w:tcPr>
          <w:p w14:paraId="04745A12" w14:textId="58CF2B48" w:rsidR="00EF6630" w:rsidRPr="00EF6630" w:rsidRDefault="00EF6630" w:rsidP="00EF6630">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7EB0111E" w14:textId="77777777" w:rsidR="00EF6630" w:rsidRPr="00EF6630" w:rsidRDefault="00EF6630" w:rsidP="00EF6630">
            <w:pPr>
              <w:rPr>
                <w:szCs w:val="22"/>
                <w:lang w:val="en-AU"/>
              </w:rPr>
            </w:pPr>
          </w:p>
        </w:tc>
      </w:tr>
      <w:tr w:rsidR="00EF6630" w:rsidRPr="00EF6630" w14:paraId="4500F3CC"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2D804E3A" w14:textId="77777777" w:rsidR="00EF6630" w:rsidRPr="00EF6630" w:rsidRDefault="00EF6630" w:rsidP="00EF6630">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E45C0C4" w14:textId="77777777" w:rsidR="00EF6630" w:rsidRPr="00EF6630" w:rsidRDefault="00EF6630" w:rsidP="00EF6630">
            <w:pPr>
              <w:rPr>
                <w:szCs w:val="22"/>
                <w:lang w:val="en-AU"/>
              </w:rPr>
            </w:pPr>
          </w:p>
        </w:tc>
      </w:tr>
      <w:tr w:rsidR="00EF6630" w:rsidRPr="00EF6630" w14:paraId="52F5C29F"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5095B5B8" w14:textId="77777777" w:rsidR="00EF6630" w:rsidRPr="00EF6630" w:rsidRDefault="00EF6630" w:rsidP="00EF6630">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69412B" w14:textId="77777777" w:rsidR="00EF6630" w:rsidRPr="00EF6630" w:rsidRDefault="00EF6630" w:rsidP="00EF6630">
            <w:pPr>
              <w:rPr>
                <w:szCs w:val="22"/>
                <w:lang w:val="en-AU"/>
              </w:rPr>
            </w:pPr>
          </w:p>
        </w:tc>
      </w:tr>
      <w:tr w:rsidR="00EF6630" w:rsidRPr="00EF6630" w14:paraId="6634D67E"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393829D9" w14:textId="77777777" w:rsidR="00EF6630" w:rsidRPr="00EF6630" w:rsidRDefault="00EF6630" w:rsidP="00EF6630">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AAA4CBD" w14:textId="77777777" w:rsidR="00EF6630" w:rsidRPr="00EF6630" w:rsidRDefault="00EF6630" w:rsidP="00EF6630">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324EBF82" w14:textId="77777777" w:rsidR="00EF6630" w:rsidRPr="00EF6630" w:rsidRDefault="00EF6630" w:rsidP="00EF6630">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15B7B2" w14:textId="77777777" w:rsidR="00EF6630" w:rsidRPr="00EF6630" w:rsidRDefault="00EF6630" w:rsidP="00EF6630">
            <w:pPr>
              <w:rPr>
                <w:szCs w:val="22"/>
                <w:lang w:val="en-AU"/>
              </w:rPr>
            </w:pPr>
          </w:p>
        </w:tc>
      </w:tr>
      <w:tr w:rsidR="00EF6630" w:rsidRPr="00EF6630" w14:paraId="229A36BC"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14158DC5" w14:textId="77777777" w:rsidR="00EF6630" w:rsidRPr="00EF6630" w:rsidRDefault="00EF6630" w:rsidP="00EF6630">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9EC8AEC" w14:textId="77777777" w:rsidR="00EF6630" w:rsidRPr="00EF6630" w:rsidRDefault="00EF6630" w:rsidP="00EF6630">
            <w:pPr>
              <w:rPr>
                <w:szCs w:val="22"/>
                <w:lang w:val="en-AU"/>
              </w:rPr>
            </w:pPr>
          </w:p>
        </w:tc>
      </w:tr>
      <w:tr w:rsidR="00EF6630" w:rsidRPr="00EF6630" w14:paraId="53B7252F"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11328A37" w14:textId="77777777" w:rsidR="00EF6630" w:rsidRPr="00EF6630" w:rsidRDefault="00EF6630" w:rsidP="00EF6630">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AED1122" w14:textId="77777777" w:rsidR="00EF6630" w:rsidRPr="00EF6630" w:rsidRDefault="00EF6630" w:rsidP="00EF6630">
            <w:pPr>
              <w:rPr>
                <w:szCs w:val="22"/>
                <w:lang w:val="en-AU"/>
              </w:rPr>
            </w:pPr>
          </w:p>
        </w:tc>
      </w:tr>
      <w:tr w:rsidR="00EF6630" w:rsidRPr="00EF6630" w14:paraId="4F44CA39" w14:textId="77777777" w:rsidTr="00AD3BF6">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41A6221" w14:textId="77777777" w:rsidR="00EF6630" w:rsidRPr="00EF6630" w:rsidRDefault="00EF6630" w:rsidP="00EF6630">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73334E99" w14:textId="77777777" w:rsidR="00EF6630" w:rsidRPr="00EF6630" w:rsidRDefault="00EF6630" w:rsidP="00EF6630">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5B2FC8" w14:textId="77777777" w:rsidR="00EF6630" w:rsidRPr="00EF6630" w:rsidRDefault="00EF6630" w:rsidP="00EF6630">
            <w:pPr>
              <w:rPr>
                <w:szCs w:val="22"/>
                <w:lang w:val="en-AU"/>
              </w:rPr>
            </w:pPr>
          </w:p>
        </w:tc>
      </w:tr>
      <w:tr w:rsidR="00EF6630" w:rsidRPr="00EF6630" w14:paraId="22988DA3" w14:textId="77777777" w:rsidTr="00AD3BF6">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D0EB9E3" w14:textId="77777777" w:rsidR="00EF6630" w:rsidRPr="00EF6630" w:rsidRDefault="00EF6630" w:rsidP="00EF6630">
            <w:pPr>
              <w:rPr>
                <w:szCs w:val="22"/>
                <w:lang w:val="en-AU"/>
              </w:rPr>
            </w:pPr>
            <w:r w:rsidRPr="00EF6630">
              <w:rPr>
                <w:szCs w:val="22"/>
                <w:lang w:val="en-AU"/>
              </w:rPr>
              <w:t xml:space="preserve">State </w:t>
            </w:r>
          </w:p>
        </w:tc>
        <w:sdt>
          <w:sdtPr>
            <w:alias w:val="State"/>
            <w:tag w:val="state"/>
            <w:id w:val="918832663"/>
            <w:placeholder>
              <w:docPart w:val="44E7DC8E629A466497A39993A4A322E9"/>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8FDF063" w14:textId="77777777" w:rsidR="00EF6630" w:rsidRPr="00EF6630" w:rsidRDefault="00EF6630" w:rsidP="00EF6630">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20FBE547" w14:textId="77777777" w:rsidR="00EF6630" w:rsidRPr="00EF6630" w:rsidRDefault="00EF6630" w:rsidP="00EF6630">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A978A10" w14:textId="77777777" w:rsidR="00EF6630" w:rsidRPr="00EF6630" w:rsidRDefault="00EF6630" w:rsidP="00EF6630">
            <w:pPr>
              <w:rPr>
                <w:szCs w:val="22"/>
                <w:lang w:val="en-AU"/>
              </w:rPr>
            </w:pPr>
          </w:p>
        </w:tc>
      </w:tr>
    </w:tbl>
    <w:p w14:paraId="0642FD70" w14:textId="6BA4E861" w:rsidR="00E44618" w:rsidRDefault="00E44618" w:rsidP="00E44618"/>
    <w:p w14:paraId="636AEE13" w14:textId="103B9F1B" w:rsidR="001E5DDB" w:rsidRPr="00F919C6" w:rsidRDefault="001E5DDB" w:rsidP="001E5DDB">
      <w:pPr>
        <w:pStyle w:val="Heading4"/>
      </w:pPr>
      <w:r>
        <w:t>2</w:t>
      </w:r>
      <w:r w:rsidRPr="00F919C6">
        <w:t xml:space="preserve">. </w:t>
      </w:r>
      <w:r>
        <w:t>Property description</w:t>
      </w:r>
    </w:p>
    <w:p w14:paraId="781F24C5" w14:textId="77777777" w:rsidR="001E5DDB" w:rsidRPr="001E5DDB" w:rsidRDefault="001E5DDB" w:rsidP="001E5DDB">
      <w:pPr>
        <w:rPr>
          <w:lang w:val="en-GB" w:bidi="en-US"/>
        </w:rPr>
      </w:pPr>
      <w:r w:rsidRPr="001E5DDB">
        <w:rPr>
          <w:lang w:val="en-GB" w:bidi="en-US"/>
        </w:rPr>
        <w:t>The description must identify all land the subject of the application.</w:t>
      </w:r>
    </w:p>
    <w:p w14:paraId="5DD28CE1" w14:textId="77777777" w:rsidR="001E5DDB" w:rsidRPr="001E5DDB" w:rsidRDefault="001E5DDB" w:rsidP="001E5DDB">
      <w:pPr>
        <w:rPr>
          <w:lang w:val="en-GB" w:bidi="en-US"/>
        </w:rPr>
      </w:pPr>
      <w:r w:rsidRPr="001E5DDB">
        <w:rPr>
          <w:lang w:val="en-GB" w:bidi="en-US"/>
        </w:rPr>
        <w:t xml:space="preserve">The lot and plan details (e.g. SP/RP) are shown on title documents or a rates notice. </w:t>
      </w:r>
    </w:p>
    <w:p w14:paraId="5AEDE87A" w14:textId="7173828E" w:rsidR="001E5DDB" w:rsidRDefault="001E5DDB" w:rsidP="001E5DDB">
      <w:pPr>
        <w:rPr>
          <w:lang w:val="en-US" w:bidi="en-US"/>
        </w:rPr>
      </w:pPr>
      <w:r w:rsidRPr="001E5DDB">
        <w:rPr>
          <w:lang w:val="en-GB" w:bidi="en-US"/>
        </w:rPr>
        <w:t>If the plan is not registered by title, provide previous lot and plan details</w:t>
      </w:r>
      <w:r w:rsidRPr="001E5DDB">
        <w:rPr>
          <w:b/>
          <w:bCs/>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1E5DDB" w:rsidRPr="00E44618" w14:paraId="567C8948" w14:textId="77777777" w:rsidTr="00CF4BE2">
        <w:trPr>
          <w:trHeight w:val="384"/>
        </w:trPr>
        <w:tc>
          <w:tcPr>
            <w:tcW w:w="1418" w:type="dxa"/>
            <w:tcBorders>
              <w:bottom w:val="single" w:sz="8" w:space="0" w:color="7F7F7F" w:themeColor="text1" w:themeTint="80"/>
            </w:tcBorders>
            <w:vAlign w:val="center"/>
          </w:tcPr>
          <w:p w14:paraId="73FC71A6" w14:textId="77777777" w:rsidR="001E5DDB" w:rsidRPr="009A29B8" w:rsidRDefault="001E5DDB"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36A0EBA2" w14:textId="77777777" w:rsidR="001E5DDB" w:rsidRPr="009A29B8" w:rsidRDefault="001E5DDB" w:rsidP="00CF4BE2">
            <w:pPr>
              <w:pStyle w:val="TableText"/>
            </w:pPr>
          </w:p>
        </w:tc>
      </w:tr>
      <w:tr w:rsidR="001E5DDB" w:rsidRPr="00E44618" w14:paraId="0A648B6E"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AB6A6C"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51E6DDB" w14:textId="77777777" w:rsidR="001E5DDB" w:rsidRPr="009A29B8" w:rsidRDefault="001E5DDB"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91C03" w14:textId="77777777" w:rsidR="001E5DDB" w:rsidRPr="009A29B8" w:rsidRDefault="001E5DDB" w:rsidP="00CF4BE2">
            <w:pPr>
              <w:pStyle w:val="TableText"/>
            </w:pPr>
          </w:p>
        </w:tc>
      </w:tr>
      <w:tr w:rsidR="001E5DDB" w:rsidRPr="00E44618" w14:paraId="0155D4D9"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4E45B854" w14:textId="77777777" w:rsidR="001E5DDB" w:rsidRPr="009A29B8" w:rsidRDefault="001E5DDB"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BD3F49" w14:textId="77777777" w:rsidR="001E5DDB" w:rsidRPr="009A29B8" w:rsidRDefault="001E5DDB"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E31CC60" w14:textId="77777777" w:rsidR="001E5DDB" w:rsidRPr="009A29B8" w:rsidRDefault="001E5DDB"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7A7E8E" w14:textId="77777777" w:rsidR="001E5DDB" w:rsidRPr="009A29B8" w:rsidRDefault="001E5DDB" w:rsidP="00CF4BE2">
            <w:pPr>
              <w:pStyle w:val="TableText"/>
            </w:pPr>
          </w:p>
        </w:tc>
      </w:tr>
      <w:tr w:rsidR="001E5DDB" w:rsidRPr="00E44618" w14:paraId="453F2593"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54D33257" w14:textId="77777777" w:rsidR="001E5DDB" w:rsidRPr="009A29B8" w:rsidRDefault="001E5DDB" w:rsidP="00CF4BE2">
            <w:pPr>
              <w:pStyle w:val="TableText"/>
            </w:pPr>
            <w:r w:rsidRPr="002E61C0">
              <w:t xml:space="preserve">Lot and plan details </w:t>
            </w:r>
            <w:r w:rsidRPr="00AF76E0">
              <w:rPr>
                <w:i/>
                <w:iCs/>
              </w:rPr>
              <w:t>(attach list if necessary)</w:t>
            </w:r>
          </w:p>
        </w:tc>
      </w:tr>
      <w:tr w:rsidR="001E5DDB" w:rsidRPr="00E44618" w14:paraId="399A4264"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9141E9" w14:textId="77777777" w:rsidR="001E5DDB" w:rsidRPr="009A29B8" w:rsidRDefault="001E5DDB" w:rsidP="00CF4BE2">
            <w:pPr>
              <w:pStyle w:val="TableText"/>
            </w:pPr>
          </w:p>
        </w:tc>
      </w:tr>
      <w:tr w:rsidR="001E5DDB" w:rsidRPr="00E44618" w14:paraId="6D61FA9B"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6DF1B963" w14:textId="77777777" w:rsidR="001E5DDB" w:rsidRPr="009A29B8" w:rsidRDefault="001E5DDB" w:rsidP="00CF4BE2">
            <w:pPr>
              <w:pStyle w:val="TableText"/>
            </w:pPr>
            <w:r w:rsidRPr="002E61C0">
              <w:t>Local government area the land is situated in</w:t>
            </w:r>
          </w:p>
        </w:tc>
      </w:tr>
      <w:tr w:rsidR="001E5DDB" w:rsidRPr="00E44618" w14:paraId="135F669E"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D7FF06" w14:textId="77777777" w:rsidR="001E5DDB" w:rsidRPr="009A29B8" w:rsidRDefault="001E5DDB" w:rsidP="00CF4BE2">
            <w:pPr>
              <w:pStyle w:val="TableText"/>
            </w:pPr>
          </w:p>
        </w:tc>
      </w:tr>
    </w:tbl>
    <w:p w14:paraId="2E884BF4" w14:textId="77777777" w:rsidR="00EF6630" w:rsidRPr="00EF6630" w:rsidRDefault="00EF6630" w:rsidP="00EF6630"/>
    <w:p w14:paraId="52556B83" w14:textId="5E282EFF" w:rsidR="00E44618" w:rsidRPr="001E5DDB" w:rsidRDefault="00E44618" w:rsidP="001E5DDB">
      <w:pPr>
        <w:pStyle w:val="Heading4"/>
        <w:rPr>
          <w:rFonts w:eastAsia="MetaPro-Light"/>
          <w:bCs/>
          <w:lang w:val="en-GB"/>
        </w:rPr>
      </w:pPr>
      <w:r>
        <w:t xml:space="preserve">3. </w:t>
      </w:r>
      <w:r w:rsidR="001E5DDB" w:rsidRPr="001E5DDB">
        <w:rPr>
          <w:rFonts w:eastAsia="MetaPro-Light"/>
          <w:bCs/>
          <w:lang w:val="en-GB"/>
        </w:rPr>
        <w:t>Assessment manager/ private certifier</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660"/>
        <w:gridCol w:w="2315"/>
      </w:tblGrid>
      <w:tr w:rsidR="00EF6630" w:rsidRPr="00EF6630" w14:paraId="437C2A81" w14:textId="77777777" w:rsidTr="00AD3BF6">
        <w:trPr>
          <w:trHeight w:val="384"/>
        </w:trPr>
        <w:tc>
          <w:tcPr>
            <w:tcW w:w="2835" w:type="dxa"/>
            <w:tcBorders>
              <w:bottom w:val="single" w:sz="8" w:space="0" w:color="7F7F7F" w:themeColor="text1" w:themeTint="80"/>
            </w:tcBorders>
            <w:vAlign w:val="center"/>
          </w:tcPr>
          <w:p w14:paraId="01E44CE8" w14:textId="06191D24" w:rsidR="00EF6630" w:rsidRPr="00EF6630" w:rsidRDefault="00EF6630" w:rsidP="00EF6630">
            <w:pPr>
              <w:rPr>
                <w:szCs w:val="22"/>
                <w:lang w:val="en-AU"/>
              </w:rPr>
            </w:pPr>
            <w:r w:rsidRPr="00EF6630">
              <w:rPr>
                <w:szCs w:val="22"/>
                <w:lang w:val="en-AU"/>
              </w:rPr>
              <w:t xml:space="preserve">Name </w:t>
            </w:r>
            <w:r w:rsidRPr="00EF6630">
              <w:rPr>
                <w:i/>
                <w:iCs/>
                <w:szCs w:val="22"/>
                <w:lang w:val="en-AU"/>
              </w:rPr>
              <w:t>(in full)</w:t>
            </w:r>
          </w:p>
        </w:tc>
        <w:tc>
          <w:tcPr>
            <w:tcW w:w="7370" w:type="dxa"/>
            <w:gridSpan w:val="5"/>
            <w:tcBorders>
              <w:bottom w:val="single" w:sz="8" w:space="0" w:color="7F7F7F" w:themeColor="text1" w:themeTint="80"/>
            </w:tcBorders>
            <w:shd w:val="clear" w:color="auto" w:fill="F2F2F2" w:themeFill="background1" w:themeFillShade="F2"/>
            <w:vAlign w:val="center"/>
          </w:tcPr>
          <w:p w14:paraId="2E671422" w14:textId="77777777" w:rsidR="00EF6630" w:rsidRPr="00EF6630" w:rsidRDefault="00EF6630" w:rsidP="00EF6630">
            <w:pPr>
              <w:rPr>
                <w:szCs w:val="22"/>
                <w:lang w:val="en-AU"/>
              </w:rPr>
            </w:pPr>
          </w:p>
        </w:tc>
      </w:tr>
      <w:tr w:rsidR="00EF6630" w:rsidRPr="00EF6630" w14:paraId="6443AF5B"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0D7772A7" w14:textId="77777777" w:rsidR="00EF6630" w:rsidRPr="00EF6630" w:rsidRDefault="00EF6630" w:rsidP="00EF6630">
            <w:pPr>
              <w:rPr>
                <w:szCs w:val="22"/>
                <w:lang w:val="en-AU"/>
              </w:rPr>
            </w:pPr>
            <w:r w:rsidRPr="00EF6630">
              <w:rPr>
                <w:szCs w:val="22"/>
                <w:lang w:val="en-AU"/>
              </w:rPr>
              <w:t>Company name</w:t>
            </w:r>
            <w:r w:rsidRPr="00EF6630">
              <w:rPr>
                <w:i/>
                <w:iCs/>
                <w:szCs w:val="22"/>
                <w:lang w:val="en-AU"/>
              </w:rPr>
              <w:t xml:space="preserve"> (if applicable)</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A7637B3" w14:textId="77777777" w:rsidR="00EF6630" w:rsidRPr="00EF6630" w:rsidRDefault="00EF6630" w:rsidP="00EF6630">
            <w:pPr>
              <w:rPr>
                <w:szCs w:val="22"/>
                <w:lang w:val="en-AU"/>
              </w:rPr>
            </w:pPr>
          </w:p>
        </w:tc>
      </w:tr>
      <w:tr w:rsidR="00EF6630" w:rsidRPr="00EF6630" w14:paraId="346E4737"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13AB3464" w14:textId="77777777" w:rsidR="00EF6630" w:rsidRPr="00EF6630" w:rsidRDefault="00EF6630" w:rsidP="00EF6630">
            <w:pPr>
              <w:rPr>
                <w:szCs w:val="22"/>
                <w:lang w:val="en-AU"/>
              </w:rPr>
            </w:pPr>
            <w:r w:rsidRPr="00EF6630">
              <w:rPr>
                <w:szCs w:val="22"/>
                <w:lang w:val="en-AU"/>
              </w:rPr>
              <w:t>Contact person</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A059D3F" w14:textId="77777777" w:rsidR="00EF6630" w:rsidRPr="00EF6630" w:rsidRDefault="00EF6630" w:rsidP="00EF6630">
            <w:pPr>
              <w:rPr>
                <w:szCs w:val="22"/>
                <w:lang w:val="en-AU"/>
              </w:rPr>
            </w:pPr>
          </w:p>
        </w:tc>
      </w:tr>
      <w:tr w:rsidR="00EF6630" w:rsidRPr="00EF6630" w14:paraId="54B26AD3"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05AECDD8" w14:textId="77777777" w:rsidR="00EF6630" w:rsidRPr="00EF6630" w:rsidRDefault="00EF6630" w:rsidP="00EF6630">
            <w:pPr>
              <w:rPr>
                <w:szCs w:val="22"/>
                <w:lang w:val="en-AU"/>
              </w:rPr>
            </w:pPr>
            <w:r w:rsidRPr="00EF6630">
              <w:rPr>
                <w:szCs w:val="22"/>
                <w:lang w:val="en-AU"/>
              </w:rPr>
              <w:lastRenderedPageBreak/>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E1B882D" w14:textId="77777777" w:rsidR="00EF6630" w:rsidRPr="00EF6630" w:rsidRDefault="00EF6630" w:rsidP="00EF6630">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2143DC60" w14:textId="77777777" w:rsidR="00EF6630" w:rsidRPr="00EF6630" w:rsidRDefault="00EF6630" w:rsidP="00EF6630">
            <w:pPr>
              <w:rPr>
                <w:szCs w:val="22"/>
                <w:lang w:val="en-AU"/>
              </w:rPr>
            </w:pPr>
            <w:r w:rsidRPr="00EF6630">
              <w:rPr>
                <w:szCs w:val="22"/>
                <w:lang w:val="en-AU"/>
              </w:rPr>
              <w:t>Mobile</w:t>
            </w:r>
          </w:p>
        </w:tc>
        <w:tc>
          <w:tcPr>
            <w:tcW w:w="29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36A00ED" w14:textId="77777777" w:rsidR="00EF6630" w:rsidRPr="00EF6630" w:rsidRDefault="00EF6630" w:rsidP="00EF6630">
            <w:pPr>
              <w:rPr>
                <w:szCs w:val="22"/>
                <w:lang w:val="en-AU"/>
              </w:rPr>
            </w:pPr>
          </w:p>
        </w:tc>
      </w:tr>
      <w:tr w:rsidR="00EF6630" w:rsidRPr="00EF6630" w14:paraId="3B22742A"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5BB8FB9D" w14:textId="77777777" w:rsidR="00EF6630" w:rsidRPr="00EF6630" w:rsidRDefault="00EF6630" w:rsidP="00EF6630">
            <w:pPr>
              <w:rPr>
                <w:szCs w:val="22"/>
                <w:lang w:val="en-AU"/>
              </w:rPr>
            </w:pPr>
            <w:r w:rsidRPr="00EF6630">
              <w:rPr>
                <w:szCs w:val="22"/>
                <w:lang w:val="en-AU"/>
              </w:rPr>
              <w:t>Email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99A381" w14:textId="77777777" w:rsidR="00EF6630" w:rsidRPr="00EF6630" w:rsidRDefault="00EF6630" w:rsidP="00EF6630">
            <w:pPr>
              <w:rPr>
                <w:szCs w:val="22"/>
                <w:lang w:val="en-AU"/>
              </w:rPr>
            </w:pPr>
          </w:p>
        </w:tc>
      </w:tr>
      <w:tr w:rsidR="00EF6630" w:rsidRPr="00EF6630" w14:paraId="1D324F41"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33CF431B" w14:textId="77777777" w:rsidR="00EF6630" w:rsidRPr="00EF6630" w:rsidRDefault="00EF6630" w:rsidP="00EF6630">
            <w:pPr>
              <w:rPr>
                <w:szCs w:val="22"/>
                <w:lang w:val="en-AU"/>
              </w:rPr>
            </w:pPr>
            <w:r w:rsidRPr="00EF6630">
              <w:rPr>
                <w:szCs w:val="22"/>
                <w:lang w:val="en-AU"/>
              </w:rPr>
              <w:t>Postal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14E201A" w14:textId="77777777" w:rsidR="00EF6630" w:rsidRPr="00EF6630" w:rsidRDefault="00EF6630" w:rsidP="00EF6630">
            <w:pPr>
              <w:rPr>
                <w:szCs w:val="22"/>
                <w:lang w:val="en-AU"/>
              </w:rPr>
            </w:pPr>
          </w:p>
        </w:tc>
      </w:tr>
      <w:tr w:rsidR="00EF6630" w:rsidRPr="00EF6630" w14:paraId="15F66F55" w14:textId="77777777" w:rsidTr="00AD3BF6">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E1720DE" w14:textId="77777777" w:rsidR="00EF6630" w:rsidRPr="00EF6630" w:rsidRDefault="00EF6630" w:rsidP="00EF6630">
            <w:pPr>
              <w:rPr>
                <w:szCs w:val="22"/>
                <w:lang w:val="en-AU"/>
              </w:rPr>
            </w:pPr>
          </w:p>
        </w:tc>
        <w:tc>
          <w:tcPr>
            <w:tcW w:w="231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4854BD97" w14:textId="77777777" w:rsidR="00EF6630" w:rsidRPr="00EF6630" w:rsidRDefault="00EF6630" w:rsidP="00EF6630">
            <w:pPr>
              <w:rPr>
                <w:szCs w:val="22"/>
                <w:lang w:val="en-AU"/>
              </w:rPr>
            </w:pPr>
            <w:r w:rsidRPr="00EF6630">
              <w:rPr>
                <w:szCs w:val="22"/>
                <w:lang w:val="en-AU"/>
              </w:rPr>
              <w:t>Suburb/locality</w:t>
            </w:r>
          </w:p>
        </w:tc>
        <w:tc>
          <w:tcPr>
            <w:tcW w:w="231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5FA14A2" w14:textId="77777777" w:rsidR="00EF6630" w:rsidRPr="00EF6630" w:rsidRDefault="00EF6630" w:rsidP="00EF6630">
            <w:pPr>
              <w:rPr>
                <w:szCs w:val="22"/>
                <w:lang w:val="en-AU"/>
              </w:rPr>
            </w:pPr>
          </w:p>
        </w:tc>
      </w:tr>
      <w:tr w:rsidR="00EF6630" w:rsidRPr="00EF6630" w14:paraId="35111CF4" w14:textId="77777777" w:rsidTr="00AD3BF6">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A19D9AF" w14:textId="77777777" w:rsidR="00EF6630" w:rsidRPr="00EF6630" w:rsidRDefault="00EF6630" w:rsidP="00EF6630">
            <w:pPr>
              <w:rPr>
                <w:szCs w:val="22"/>
                <w:lang w:val="en-AU"/>
              </w:rPr>
            </w:pPr>
            <w:r w:rsidRPr="00EF6630">
              <w:rPr>
                <w:szCs w:val="22"/>
                <w:lang w:val="en-AU"/>
              </w:rPr>
              <w:t xml:space="preserve">State </w:t>
            </w:r>
          </w:p>
        </w:tc>
        <w:sdt>
          <w:sdtPr>
            <w:alias w:val="State"/>
            <w:tag w:val="state"/>
            <w:id w:val="281921669"/>
            <w:placeholder>
              <w:docPart w:val="1CA36924FEA243C9B1BEEC863739DD5F"/>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CC0E531" w14:textId="77777777" w:rsidR="00EF6630" w:rsidRPr="00EF6630" w:rsidRDefault="00EF6630" w:rsidP="00EF6630">
                <w:pPr>
                  <w:rPr>
                    <w:szCs w:val="22"/>
                    <w:lang w:val="en-AU"/>
                  </w:rPr>
                </w:pPr>
                <w:r w:rsidRPr="00EF6630">
                  <w:rPr>
                    <w:szCs w:val="22"/>
                    <w:lang w:val="en-AU"/>
                  </w:rPr>
                  <w:t>Choose an item.</w:t>
                </w:r>
              </w:p>
            </w:tc>
          </w:sdtContent>
        </w:sdt>
        <w:tc>
          <w:tcPr>
            <w:tcW w:w="231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4F2561BD" w14:textId="77777777" w:rsidR="00EF6630" w:rsidRPr="00EF6630" w:rsidRDefault="00EF6630" w:rsidP="00EF6630">
            <w:pPr>
              <w:rPr>
                <w:szCs w:val="22"/>
                <w:lang w:val="en-AU"/>
              </w:rPr>
            </w:pPr>
            <w:r w:rsidRPr="00EF6630">
              <w:rPr>
                <w:szCs w:val="22"/>
                <w:lang w:val="en-AU"/>
              </w:rPr>
              <w:t>Postcode</w:t>
            </w:r>
          </w:p>
        </w:tc>
        <w:tc>
          <w:tcPr>
            <w:tcW w:w="231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82380CD" w14:textId="77777777" w:rsidR="00EF6630" w:rsidRPr="00EF6630" w:rsidRDefault="00EF6630" w:rsidP="00EF6630">
            <w:pPr>
              <w:rPr>
                <w:szCs w:val="22"/>
                <w:lang w:val="en-AU"/>
              </w:rPr>
            </w:pPr>
          </w:p>
        </w:tc>
      </w:tr>
      <w:tr w:rsidR="00EF6630" w:rsidRPr="00EF6630" w14:paraId="62159407" w14:textId="77777777" w:rsidTr="00AD3BF6">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6C90865E" w14:textId="1A2B05F7" w:rsidR="00EF6630" w:rsidRPr="00EF6630" w:rsidRDefault="00EF6630" w:rsidP="00EF6630">
            <w:pPr>
              <w:rPr>
                <w:szCs w:val="22"/>
                <w:lang w:val="en-AU"/>
              </w:rPr>
            </w:pPr>
            <w:r w:rsidRPr="00EF6630">
              <w:rPr>
                <w:szCs w:val="22"/>
                <w:lang w:val="en-AU"/>
              </w:rPr>
              <w:t>Licence number</w:t>
            </w:r>
            <w:r w:rsidR="00F21704">
              <w:rPr>
                <w:szCs w:val="22"/>
                <w:lang w:val="en-AU"/>
              </w:rPr>
              <w:t xml:space="preserve"> </w:t>
            </w:r>
            <w:r w:rsidR="00F21704" w:rsidRPr="00F21704">
              <w:rPr>
                <w:i/>
                <w:iCs/>
                <w:szCs w:val="22"/>
                <w:lang w:val="en-AU"/>
              </w:rPr>
              <w:t>(if applicable)</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F7FBA28" w14:textId="77777777" w:rsidR="00EF6630" w:rsidRPr="00EF6630" w:rsidRDefault="00EF6630" w:rsidP="00EF6630">
            <w:pPr>
              <w:rPr>
                <w:szCs w:val="22"/>
                <w:lang w:val="en-AU"/>
              </w:rPr>
            </w:pPr>
          </w:p>
        </w:tc>
      </w:tr>
    </w:tbl>
    <w:p w14:paraId="1CA5BD58" w14:textId="6C6899CF" w:rsidR="00E44618" w:rsidRDefault="00E44618" w:rsidP="00E44618"/>
    <w:p w14:paraId="7DDF5657" w14:textId="794353A9" w:rsidR="001E5DDB" w:rsidRPr="001E5DDB" w:rsidRDefault="001E5DDB" w:rsidP="001E5DDB">
      <w:pPr>
        <w:pStyle w:val="Heading4"/>
        <w:rPr>
          <w:bCs/>
          <w:lang w:val="en-GB"/>
        </w:rPr>
      </w:pPr>
      <w:r>
        <w:t xml:space="preserve">4. </w:t>
      </w:r>
      <w:r w:rsidRPr="001E5DDB">
        <w:rPr>
          <w:bCs/>
          <w:lang w:val="en-GB"/>
        </w:rPr>
        <w:t>Variation</w:t>
      </w:r>
    </w:p>
    <w:p w14:paraId="3BD5846B" w14:textId="77777777" w:rsidR="001E5DDB" w:rsidRPr="001E5DDB" w:rsidRDefault="001E5DDB" w:rsidP="001E5DDB">
      <w:pPr>
        <w:rPr>
          <w:lang w:val="en-GB" w:bidi="en-US"/>
        </w:rPr>
      </w:pPr>
      <w:r w:rsidRPr="001E5DDB">
        <w:rPr>
          <w:lang w:val="en-GB" w:bidi="en-US"/>
        </w:rPr>
        <w:t>Attach any supporting documentation.</w:t>
      </w:r>
    </w:p>
    <w:p w14:paraId="2E4BEA80" w14:textId="0945CB06" w:rsidR="001E5DDB" w:rsidRPr="001E5DDB" w:rsidRDefault="001E5DDB" w:rsidP="001E5DDB">
      <w:pPr>
        <w:rPr>
          <w:lang w:bidi="en-US"/>
        </w:rPr>
      </w:pPr>
      <w:r w:rsidRPr="001E5DDB">
        <w:rPr>
          <w:lang w:val="en-GB" w:bidi="en-US"/>
        </w:rPr>
        <w:t>A separate application is required for each clause to be varied.</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7370"/>
      </w:tblGrid>
      <w:tr w:rsidR="001E5DDB" w:rsidRPr="00EF6630" w14:paraId="6C30B309" w14:textId="77777777" w:rsidTr="00CF4BE2">
        <w:trPr>
          <w:trHeight w:val="384"/>
        </w:trPr>
        <w:tc>
          <w:tcPr>
            <w:tcW w:w="2835" w:type="dxa"/>
            <w:tcBorders>
              <w:bottom w:val="single" w:sz="8" w:space="0" w:color="7F7F7F" w:themeColor="text1" w:themeTint="80"/>
            </w:tcBorders>
            <w:vAlign w:val="center"/>
          </w:tcPr>
          <w:p w14:paraId="6C39C24C" w14:textId="0484C942" w:rsidR="001E5DDB" w:rsidRPr="00EF6630" w:rsidRDefault="001E5DDB" w:rsidP="00CF4BE2">
            <w:pPr>
              <w:pStyle w:val="TableText"/>
              <w:rPr>
                <w:lang w:val="en-AU"/>
              </w:rPr>
            </w:pPr>
            <w:r>
              <w:rPr>
                <w:lang w:val="en-AU"/>
              </w:rPr>
              <w:t>Clause number</w:t>
            </w:r>
          </w:p>
        </w:tc>
        <w:tc>
          <w:tcPr>
            <w:tcW w:w="7370" w:type="dxa"/>
            <w:tcBorders>
              <w:bottom w:val="single" w:sz="8" w:space="0" w:color="7F7F7F" w:themeColor="text1" w:themeTint="80"/>
            </w:tcBorders>
            <w:shd w:val="clear" w:color="auto" w:fill="F2F2F2" w:themeFill="background1" w:themeFillShade="F2"/>
            <w:vAlign w:val="center"/>
          </w:tcPr>
          <w:p w14:paraId="7EDFD664" w14:textId="77777777" w:rsidR="001E5DDB" w:rsidRPr="00EF6630" w:rsidRDefault="001E5DDB" w:rsidP="00CF4BE2">
            <w:pPr>
              <w:pStyle w:val="TableText"/>
              <w:rPr>
                <w:lang w:val="en-AU"/>
              </w:rPr>
            </w:pPr>
          </w:p>
        </w:tc>
      </w:tr>
      <w:tr w:rsidR="001E5DDB" w:rsidRPr="00EF6630" w14:paraId="476D15BE"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3515216" w14:textId="4E10C80C" w:rsidR="001E5DDB" w:rsidRPr="00EF6630" w:rsidRDefault="001E5DDB" w:rsidP="00CF4BE2">
            <w:pPr>
              <w:pStyle w:val="TableText"/>
              <w:rPr>
                <w:lang w:val="en-AU"/>
              </w:rPr>
            </w:pPr>
            <w:r>
              <w:rPr>
                <w:lang w:val="en-AU"/>
              </w:rPr>
              <w:t>Proposed variation</w:t>
            </w:r>
          </w:p>
        </w:tc>
        <w:tc>
          <w:tcPr>
            <w:tcW w:w="737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1C6EC8A" w14:textId="77777777" w:rsidR="001E5DDB" w:rsidRPr="00EF6630" w:rsidRDefault="001E5DDB" w:rsidP="00CF4BE2">
            <w:pPr>
              <w:pStyle w:val="TableText"/>
              <w:rPr>
                <w:lang w:val="en-AU"/>
              </w:rPr>
            </w:pPr>
          </w:p>
        </w:tc>
      </w:tr>
      <w:tr w:rsidR="001E5DDB" w:rsidRPr="00EF6630" w14:paraId="5B2A42A7" w14:textId="77777777" w:rsidTr="00A601E2">
        <w:trPr>
          <w:trHeight w:val="384"/>
        </w:trPr>
        <w:tc>
          <w:tcPr>
            <w:tcW w:w="1020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DFA0D7" w14:textId="77777777" w:rsidR="001E5DDB" w:rsidRPr="00EF6630" w:rsidRDefault="001E5DDB" w:rsidP="001E5DDB">
            <w:pPr>
              <w:pStyle w:val="TableText"/>
              <w:rPr>
                <w:lang w:val="en-AU"/>
              </w:rPr>
            </w:pPr>
          </w:p>
        </w:tc>
      </w:tr>
    </w:tbl>
    <w:p w14:paraId="7AD304E3" w14:textId="77777777" w:rsidR="001E5DDB" w:rsidRDefault="001E5DDB" w:rsidP="00E44618"/>
    <w:p w14:paraId="45DB30E0" w14:textId="0D60413E" w:rsidR="00A601E2" w:rsidRPr="00A601E2" w:rsidRDefault="00A601E2" w:rsidP="00A601E2">
      <w:pPr>
        <w:pStyle w:val="Heading4"/>
        <w:rPr>
          <w:bCs/>
          <w:lang w:val="en-GB"/>
        </w:rPr>
      </w:pPr>
      <w:r>
        <w:t>5</w:t>
      </w:r>
      <w:r w:rsidR="000877DD">
        <w:t>.</w:t>
      </w:r>
      <w:r w:rsidRPr="00A601E2">
        <w:rPr>
          <w:rFonts w:ascii="MetaPro-Bold" w:hAnsi="MetaPro-Bold" w:cs="MetaPro-Bold"/>
          <w:b w:val="0"/>
          <w:bCs/>
          <w:color w:val="970046"/>
          <w:sz w:val="19"/>
          <w:szCs w:val="19"/>
          <w:lang w:val="en-GB"/>
        </w:rPr>
        <w:t xml:space="preserve"> </w:t>
      </w:r>
      <w:r w:rsidRPr="00A601E2">
        <w:rPr>
          <w:bCs/>
          <w:lang w:val="en-GB"/>
        </w:rPr>
        <w:t xml:space="preserve">Fee and hearing options </w:t>
      </w:r>
    </w:p>
    <w:p w14:paraId="0B39EDF0" w14:textId="42B2ABB0" w:rsidR="00AF76E0" w:rsidRPr="00A601E2" w:rsidRDefault="00A601E2" w:rsidP="000877DD">
      <w:pPr>
        <w:rPr>
          <w:b/>
          <w:bCs/>
          <w:lang w:val="en-GB" w:bidi="en-US"/>
        </w:rPr>
      </w:pPr>
      <w:r w:rsidRPr="00A601E2">
        <w:rPr>
          <w:lang w:val="en-GB" w:bidi="en-US"/>
        </w:rPr>
        <w:t>Refer to schedule 9 of the</w:t>
      </w:r>
      <w:r w:rsidRPr="00A601E2">
        <w:rPr>
          <w:b/>
          <w:bCs/>
          <w:lang w:val="en-GB" w:bidi="en-US"/>
        </w:rPr>
        <w:t xml:space="preserve"> </w:t>
      </w:r>
      <w:r w:rsidRPr="00F21704">
        <w:rPr>
          <w:lang w:val="en-GB" w:bidi="en-US"/>
        </w:rPr>
        <w:t>Building Regulation 2021</w:t>
      </w:r>
      <w:r w:rsidRPr="00A601E2">
        <w:rPr>
          <w:b/>
          <w:bCs/>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7370"/>
      </w:tblGrid>
      <w:tr w:rsidR="00EF6630" w:rsidRPr="00EF6630" w14:paraId="2B3D92EC" w14:textId="77777777" w:rsidTr="00AD3BF6">
        <w:trPr>
          <w:trHeight w:val="384"/>
        </w:trPr>
        <w:tc>
          <w:tcPr>
            <w:tcW w:w="2835" w:type="dxa"/>
            <w:tcBorders>
              <w:bottom w:val="single" w:sz="8" w:space="0" w:color="7F7F7F" w:themeColor="text1" w:themeTint="80"/>
            </w:tcBorders>
            <w:vAlign w:val="center"/>
          </w:tcPr>
          <w:p w14:paraId="6D705A93" w14:textId="7146E59E" w:rsidR="00EF6630" w:rsidRPr="00A601E2" w:rsidRDefault="00A601E2" w:rsidP="00EF6630">
            <w:pPr>
              <w:pStyle w:val="TableText"/>
              <w:rPr>
                <w:lang w:val="en-GB"/>
              </w:rPr>
            </w:pPr>
            <w:r w:rsidRPr="00A601E2">
              <w:rPr>
                <w:lang w:val="en-GB"/>
              </w:rPr>
              <w:t>Inspection required</w:t>
            </w:r>
          </w:p>
        </w:tc>
        <w:tc>
          <w:tcPr>
            <w:tcW w:w="7370" w:type="dxa"/>
            <w:tcBorders>
              <w:bottom w:val="single" w:sz="8" w:space="0" w:color="7F7F7F" w:themeColor="text1" w:themeTint="80"/>
            </w:tcBorders>
            <w:shd w:val="clear" w:color="auto" w:fill="F2F2F2" w:themeFill="background1" w:themeFillShade="F2"/>
            <w:vAlign w:val="center"/>
          </w:tcPr>
          <w:p w14:paraId="0A4F9CC3" w14:textId="460FBA3A" w:rsidR="00EF6630" w:rsidRPr="00EF6630" w:rsidRDefault="00A76886" w:rsidP="00EF6630">
            <w:pPr>
              <w:pStyle w:val="TableText"/>
              <w:rPr>
                <w:lang w:val="en-AU"/>
              </w:rPr>
            </w:pPr>
            <w:r>
              <w:fldChar w:fldCharType="begin">
                <w:ffData>
                  <w:name w:val="Check1"/>
                  <w:enabled/>
                  <w:calcOnExit w:val="0"/>
                  <w:checkBox>
                    <w:sizeAuto/>
                    <w:default w:val="0"/>
                  </w:checkBox>
                </w:ffData>
              </w:fldChar>
            </w:r>
            <w:bookmarkStart w:id="0" w:name="Check1"/>
            <w:r>
              <w:rPr>
                <w:lang w:val="en-AU"/>
              </w:rPr>
              <w:instrText xml:space="preserve"> FORMCHECKBOX </w:instrText>
            </w:r>
            <w:r w:rsidR="00DC725A">
              <w:fldChar w:fldCharType="separate"/>
            </w:r>
            <w:r>
              <w:fldChar w:fldCharType="end"/>
            </w:r>
            <w:bookmarkEnd w:id="0"/>
            <w:r w:rsidR="000526CE">
              <w:rPr>
                <w:lang w:val="en-AU"/>
              </w:rPr>
              <w:t xml:space="preserve"> </w:t>
            </w:r>
            <w:r w:rsidR="00A601E2">
              <w:rPr>
                <w:lang w:val="en-AU"/>
              </w:rPr>
              <w:t>Yes</w:t>
            </w:r>
            <w:r>
              <w:rPr>
                <w:lang w:val="en-AU"/>
              </w:rPr>
              <w:t xml:space="preserve">  </w:t>
            </w:r>
            <w:r>
              <w:fldChar w:fldCharType="begin">
                <w:ffData>
                  <w:name w:val="Check1"/>
                  <w:enabled/>
                  <w:calcOnExit w:val="0"/>
                  <w:checkBox>
                    <w:sizeAuto/>
                    <w:default w:val="0"/>
                  </w:checkBox>
                </w:ffData>
              </w:fldChar>
            </w:r>
            <w:r>
              <w:rPr>
                <w:lang w:val="en-AU"/>
              </w:rPr>
              <w:instrText xml:space="preserve"> FORMCHECKBOX </w:instrText>
            </w:r>
            <w:r w:rsidR="00DC725A">
              <w:fldChar w:fldCharType="separate"/>
            </w:r>
            <w:r>
              <w:fldChar w:fldCharType="end"/>
            </w:r>
            <w:r>
              <w:rPr>
                <w:lang w:val="en-AU"/>
              </w:rPr>
              <w:t xml:space="preserve"> </w:t>
            </w:r>
            <w:r w:rsidR="00A601E2">
              <w:rPr>
                <w:lang w:val="en-AU"/>
              </w:rPr>
              <w:t>No</w:t>
            </w:r>
          </w:p>
        </w:tc>
      </w:tr>
      <w:tr w:rsidR="00EF6630" w:rsidRPr="00EF6630" w14:paraId="36ACEEA9"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743A3668" w14:textId="139C463A" w:rsidR="00EF6630" w:rsidRPr="00EF6630" w:rsidRDefault="00A601E2" w:rsidP="00EF6630">
            <w:pPr>
              <w:pStyle w:val="TableText"/>
              <w:rPr>
                <w:lang w:val="en-AU"/>
              </w:rPr>
            </w:pPr>
            <w:r>
              <w:rPr>
                <w:lang w:val="en-AU"/>
              </w:rPr>
              <w:t>Fast track decision</w:t>
            </w:r>
          </w:p>
        </w:tc>
        <w:tc>
          <w:tcPr>
            <w:tcW w:w="737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462957" w14:textId="1A1CB708" w:rsidR="00EF6630" w:rsidRPr="00EF6630" w:rsidRDefault="00A76886" w:rsidP="00EF6630">
            <w:pPr>
              <w:pStyle w:val="TableText"/>
              <w:rPr>
                <w:lang w:val="en-AU"/>
              </w:rPr>
            </w:pPr>
            <w:r>
              <w:fldChar w:fldCharType="begin">
                <w:ffData>
                  <w:name w:val="Check1"/>
                  <w:enabled/>
                  <w:calcOnExit w:val="0"/>
                  <w:checkBox>
                    <w:sizeAuto/>
                    <w:default w:val="0"/>
                  </w:checkBox>
                </w:ffData>
              </w:fldChar>
            </w:r>
            <w:r>
              <w:rPr>
                <w:lang w:val="en-AU"/>
              </w:rPr>
              <w:instrText xml:space="preserve"> FORMCHECKBOX </w:instrText>
            </w:r>
            <w:r w:rsidR="00DC725A">
              <w:fldChar w:fldCharType="separate"/>
            </w:r>
            <w:r>
              <w:fldChar w:fldCharType="end"/>
            </w:r>
            <w:r>
              <w:rPr>
                <w:lang w:val="en-AU"/>
              </w:rPr>
              <w:t xml:space="preserve"> Yes  </w:t>
            </w:r>
            <w:r>
              <w:fldChar w:fldCharType="begin">
                <w:ffData>
                  <w:name w:val="Check1"/>
                  <w:enabled/>
                  <w:calcOnExit w:val="0"/>
                  <w:checkBox>
                    <w:sizeAuto/>
                    <w:default w:val="0"/>
                  </w:checkBox>
                </w:ffData>
              </w:fldChar>
            </w:r>
            <w:r>
              <w:rPr>
                <w:lang w:val="en-AU"/>
              </w:rPr>
              <w:instrText xml:space="preserve"> FORMCHECKBOX </w:instrText>
            </w:r>
            <w:r w:rsidR="00DC725A">
              <w:fldChar w:fldCharType="separate"/>
            </w:r>
            <w:r>
              <w:fldChar w:fldCharType="end"/>
            </w:r>
            <w:r>
              <w:rPr>
                <w:lang w:val="en-AU"/>
              </w:rPr>
              <w:t xml:space="preserve"> No</w:t>
            </w:r>
          </w:p>
        </w:tc>
      </w:tr>
      <w:tr w:rsidR="00EF6630" w:rsidRPr="00EF6630" w14:paraId="726A6720"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234C8D35" w14:textId="0C2277B1" w:rsidR="00EF6630" w:rsidRPr="00EF6630" w:rsidRDefault="00A601E2" w:rsidP="00EF6630">
            <w:pPr>
              <w:pStyle w:val="TableText"/>
              <w:rPr>
                <w:lang w:val="en-AU"/>
              </w:rPr>
            </w:pPr>
            <w:r>
              <w:rPr>
                <w:lang w:val="en-AU"/>
              </w:rPr>
              <w:t>Floor area</w:t>
            </w:r>
          </w:p>
        </w:tc>
        <w:tc>
          <w:tcPr>
            <w:tcW w:w="737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AD1EC7D" w14:textId="77777777" w:rsidR="00EF6630" w:rsidRPr="00EF6630" w:rsidRDefault="00EF6630" w:rsidP="00EF6630">
            <w:pPr>
              <w:pStyle w:val="TableText"/>
              <w:rPr>
                <w:lang w:val="en-AU"/>
              </w:rPr>
            </w:pPr>
          </w:p>
        </w:tc>
      </w:tr>
      <w:tr w:rsidR="00EF6630" w:rsidRPr="00EF6630" w14:paraId="1F3BBDDC"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64B22389" w14:textId="73B4693D" w:rsidR="00EF6630" w:rsidRPr="00A601E2" w:rsidRDefault="00A601E2" w:rsidP="00EF6630">
            <w:pPr>
              <w:pStyle w:val="TableText"/>
              <w:rPr>
                <w:i/>
                <w:iCs/>
                <w:lang w:val="en-GB"/>
              </w:rPr>
            </w:pPr>
            <w:r w:rsidRPr="00A601E2">
              <w:rPr>
                <w:lang w:val="en-GB"/>
              </w:rPr>
              <w:t xml:space="preserve">Fee </w:t>
            </w:r>
            <w:r w:rsidRPr="00A601E2">
              <w:rPr>
                <w:i/>
                <w:iCs/>
                <w:lang w:val="en-GB"/>
              </w:rPr>
              <w:t>(refer to fee schedule)</w:t>
            </w:r>
          </w:p>
        </w:tc>
        <w:tc>
          <w:tcPr>
            <w:tcW w:w="737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10A3263" w14:textId="77777777" w:rsidR="00EF6630" w:rsidRPr="00EF6630" w:rsidRDefault="00EF6630" w:rsidP="00EF6630">
            <w:pPr>
              <w:pStyle w:val="TableText"/>
              <w:rPr>
                <w:lang w:val="en-AU"/>
              </w:rPr>
            </w:pPr>
          </w:p>
        </w:tc>
      </w:tr>
    </w:tbl>
    <w:p w14:paraId="05D1BE4F" w14:textId="77777777" w:rsidR="000877DD" w:rsidRDefault="000877DD" w:rsidP="000877DD"/>
    <w:p w14:paraId="4EB52177" w14:textId="67DE05EF" w:rsidR="000877DD" w:rsidRDefault="000877DD" w:rsidP="00EE7E15">
      <w:pPr>
        <w:pStyle w:val="Heading4"/>
      </w:pPr>
      <w:r>
        <w:t>6.</w:t>
      </w:r>
      <w:r w:rsidRPr="000526CE">
        <w:t>Owner’s signature</w:t>
      </w:r>
      <w:r>
        <w:t xml:space="preserve"> </w:t>
      </w:r>
    </w:p>
    <w:p w14:paraId="506BC457" w14:textId="3B0CC89F" w:rsidR="00327B31" w:rsidRPr="00327B31" w:rsidRDefault="00327B31" w:rsidP="00327B31">
      <w:pPr>
        <w:rPr>
          <w:lang w:val="en-GB" w:bidi="en-US"/>
        </w:rPr>
      </w:pPr>
      <w:r w:rsidRPr="00327B31">
        <w:rPr>
          <w:lang w:val="en-GB" w:bidi="en-US"/>
        </w:rPr>
        <w:t>Do you wish to present a verbal submission before application is decided?</w:t>
      </w:r>
      <w:r>
        <w:rPr>
          <w:lang w:val="en-GB" w:bidi="en-US"/>
        </w:rPr>
        <w:t xml:space="preserve"> </w:t>
      </w:r>
      <w:r w:rsidR="00A76886">
        <w:fldChar w:fldCharType="begin">
          <w:ffData>
            <w:name w:val="Check1"/>
            <w:enabled/>
            <w:calcOnExit w:val="0"/>
            <w:checkBox>
              <w:sizeAuto/>
              <w:default w:val="0"/>
            </w:checkBox>
          </w:ffData>
        </w:fldChar>
      </w:r>
      <w:r w:rsidR="00A76886">
        <w:instrText xml:space="preserve"> FORMCHECKBOX </w:instrText>
      </w:r>
      <w:r w:rsidR="00DC725A">
        <w:fldChar w:fldCharType="separate"/>
      </w:r>
      <w:r w:rsidR="00A76886">
        <w:fldChar w:fldCharType="end"/>
      </w:r>
      <w:r w:rsidR="00A76886">
        <w:t xml:space="preserve"> Yes  </w:t>
      </w:r>
      <w:r w:rsidR="00A76886">
        <w:fldChar w:fldCharType="begin">
          <w:ffData>
            <w:name w:val="Check1"/>
            <w:enabled/>
            <w:calcOnExit w:val="0"/>
            <w:checkBox>
              <w:sizeAuto/>
              <w:default w:val="0"/>
            </w:checkBox>
          </w:ffData>
        </w:fldChar>
      </w:r>
      <w:r w:rsidR="00A76886">
        <w:instrText xml:space="preserve"> FORMCHECKBOX </w:instrText>
      </w:r>
      <w:r w:rsidR="00DC725A">
        <w:fldChar w:fldCharType="separate"/>
      </w:r>
      <w:r w:rsidR="00A76886">
        <w:fldChar w:fldCharType="end"/>
      </w:r>
      <w:r w:rsidR="00A76886">
        <w:t xml:space="preserve"> No</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0877DD" w:rsidRPr="00344FAA" w14:paraId="38E1BC56" w14:textId="77777777" w:rsidTr="002B720A">
        <w:trPr>
          <w:trHeight w:val="384"/>
        </w:trPr>
        <w:tc>
          <w:tcPr>
            <w:tcW w:w="3261" w:type="dxa"/>
            <w:tcBorders>
              <w:top w:val="single" w:sz="8" w:space="0" w:color="7F7F7F" w:themeColor="text1" w:themeTint="80"/>
              <w:bottom w:val="single" w:sz="8" w:space="0" w:color="7F7F7F" w:themeColor="text1" w:themeTint="80"/>
            </w:tcBorders>
            <w:vAlign w:val="center"/>
          </w:tcPr>
          <w:p w14:paraId="6AF2A5C8" w14:textId="2DA0C446" w:rsidR="000877DD" w:rsidRPr="00344FAA" w:rsidRDefault="000877DD" w:rsidP="002B720A">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9CEEBF4" w14:textId="77777777" w:rsidR="000877DD" w:rsidRPr="00344FAA" w:rsidRDefault="000877DD" w:rsidP="002B720A">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123EEB0D" w14:textId="77777777" w:rsidR="000877DD" w:rsidRPr="00344FAA" w:rsidRDefault="000877DD" w:rsidP="002B720A">
            <w:pPr>
              <w:pStyle w:val="TableText"/>
            </w:pPr>
            <w:r>
              <w:t>Date</w:t>
            </w:r>
          </w:p>
        </w:tc>
        <w:sdt>
          <w:sdtPr>
            <w:id w:val="1547947473"/>
            <w:placeholder>
              <w:docPart w:val="0E68ABFE482B4EC0BA607E3179B138E6"/>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CC0B7F" w14:textId="77777777" w:rsidR="000877DD" w:rsidRPr="00344FAA" w:rsidRDefault="000877DD" w:rsidP="002B720A">
                <w:pPr>
                  <w:pStyle w:val="TableText"/>
                </w:pPr>
                <w:r w:rsidRPr="009F77E8">
                  <w:rPr>
                    <w:rStyle w:val="PlaceholderText"/>
                  </w:rPr>
                  <w:t>Click or tap to enter a date.</w:t>
                </w:r>
              </w:p>
            </w:tc>
          </w:sdtContent>
        </w:sdt>
      </w:tr>
    </w:tbl>
    <w:p w14:paraId="1E786743" w14:textId="3F7E90F0" w:rsidR="00CC08E2" w:rsidRDefault="00CC08E2" w:rsidP="001F2C82">
      <w:pPr>
        <w:pStyle w:val="Heading5"/>
      </w:pPr>
    </w:p>
    <w:p w14:paraId="61E8C108" w14:textId="7CC78546" w:rsidR="00327B31" w:rsidRPr="00A06938" w:rsidRDefault="00327B31" w:rsidP="00327B31">
      <w:pPr>
        <w:pStyle w:val="Heading5"/>
      </w:pPr>
      <w:r>
        <w:t>OFFICE USE ONLY</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1701"/>
        <w:gridCol w:w="1701"/>
        <w:gridCol w:w="1701"/>
        <w:gridCol w:w="1701"/>
        <w:gridCol w:w="1701"/>
        <w:gridCol w:w="1701"/>
      </w:tblGrid>
      <w:tr w:rsidR="00327B31" w:rsidRPr="00EF6630" w14:paraId="2841A43A" w14:textId="77777777" w:rsidTr="00327B31">
        <w:trPr>
          <w:trHeight w:val="384"/>
        </w:trPr>
        <w:tc>
          <w:tcPr>
            <w:tcW w:w="1701" w:type="dxa"/>
            <w:tcBorders>
              <w:top w:val="single" w:sz="8" w:space="0" w:color="7F7F7F" w:themeColor="text1" w:themeTint="80"/>
              <w:bottom w:val="single" w:sz="8" w:space="0" w:color="7F7F7F" w:themeColor="text1" w:themeTint="80"/>
            </w:tcBorders>
            <w:shd w:val="clear" w:color="auto" w:fill="FFFFFF" w:themeFill="background1"/>
            <w:vAlign w:val="center"/>
          </w:tcPr>
          <w:p w14:paraId="44E7AE23" w14:textId="6EA04886" w:rsidR="00327B31" w:rsidRPr="00EF6630" w:rsidRDefault="00327B31" w:rsidP="00CF4BE2">
            <w:pPr>
              <w:rPr>
                <w:szCs w:val="22"/>
                <w:lang w:val="en-AU"/>
              </w:rPr>
            </w:pPr>
            <w:r>
              <w:rPr>
                <w:szCs w:val="22"/>
                <w:lang w:val="en-AU"/>
              </w:rPr>
              <w:t>Fee payable $</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F7B6E3" w14:textId="77777777" w:rsidR="00327B31" w:rsidRPr="00EF6630" w:rsidRDefault="00327B31" w:rsidP="00CF4BE2"/>
        </w:tc>
        <w:tc>
          <w:tcPr>
            <w:tcW w:w="1701" w:type="dxa"/>
            <w:tcBorders>
              <w:top w:val="single" w:sz="8" w:space="0" w:color="7F7F7F" w:themeColor="text1" w:themeTint="80"/>
              <w:bottom w:val="single" w:sz="8" w:space="0" w:color="7F7F7F" w:themeColor="text1" w:themeTint="80"/>
            </w:tcBorders>
            <w:shd w:val="clear" w:color="auto" w:fill="auto"/>
            <w:vAlign w:val="center"/>
          </w:tcPr>
          <w:p w14:paraId="0710603E" w14:textId="2E4FD3AB" w:rsidR="00327B31" w:rsidRPr="00327B31" w:rsidRDefault="00327B31" w:rsidP="00CF4BE2">
            <w:pPr>
              <w:rPr>
                <w:szCs w:val="22"/>
                <w:lang w:val="en-AU"/>
              </w:rPr>
            </w:pPr>
            <w:r w:rsidRPr="00327B31">
              <w:rPr>
                <w:szCs w:val="22"/>
                <w:lang w:val="en-AU"/>
              </w:rPr>
              <w:t>Date received</w:t>
            </w:r>
          </w:p>
        </w:tc>
        <w:sdt>
          <w:sdtPr>
            <w:id w:val="943185512"/>
            <w:placeholder>
              <w:docPart w:val="5D3CF6ED948AA4469BC60EA85EBDDA22"/>
            </w:placeholder>
            <w:showingPlcHdr/>
            <w:date>
              <w:dateFormat w:val="d/MM/yyyy"/>
              <w:lid w:val="en-AU"/>
              <w:storeMappedDataAs w:val="dateTime"/>
              <w:calendar w:val="gregorian"/>
            </w:date>
          </w:sdtPr>
          <w:sdtEndPr/>
          <w:sdtContent>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48D0BD" w14:textId="5C28F4D5" w:rsidR="00327B31" w:rsidRPr="00EF6630" w:rsidRDefault="00327B31" w:rsidP="00CF4BE2">
                <w:pPr>
                  <w:rPr>
                    <w:szCs w:val="22"/>
                    <w:lang w:val="en-AU"/>
                  </w:rPr>
                </w:pPr>
                <w:r w:rsidRPr="009F77E8">
                  <w:rPr>
                    <w:rStyle w:val="PlaceholderText"/>
                  </w:rPr>
                  <w:t>Click or tap to enter a date.</w:t>
                </w:r>
              </w:p>
            </w:tc>
          </w:sdtContent>
        </w:sdt>
        <w:tc>
          <w:tcPr>
            <w:tcW w:w="1701" w:type="dxa"/>
            <w:tcBorders>
              <w:top w:val="single" w:sz="8" w:space="0" w:color="7F7F7F" w:themeColor="text1" w:themeTint="80"/>
              <w:bottom w:val="single" w:sz="8" w:space="0" w:color="7F7F7F" w:themeColor="text1" w:themeTint="80"/>
            </w:tcBorders>
            <w:shd w:val="clear" w:color="auto" w:fill="auto"/>
            <w:vAlign w:val="center"/>
          </w:tcPr>
          <w:p w14:paraId="6EC3A948" w14:textId="0052C181" w:rsidR="00327B31" w:rsidRPr="00EF6630" w:rsidRDefault="00327B31" w:rsidP="00CF4BE2">
            <w:r>
              <w:rPr>
                <w:szCs w:val="22"/>
                <w:lang w:val="en-AU"/>
              </w:rPr>
              <w:t>Receiving Officer’s signature</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67CAE8F" w14:textId="7216C655" w:rsidR="00327B31" w:rsidRPr="00EF6630" w:rsidRDefault="00327B31" w:rsidP="00CF4BE2">
            <w:pPr>
              <w:rPr>
                <w:szCs w:val="22"/>
                <w:lang w:val="en-AU"/>
              </w:rPr>
            </w:pPr>
          </w:p>
        </w:tc>
      </w:tr>
    </w:tbl>
    <w:p w14:paraId="758B1855" w14:textId="74316A37" w:rsidR="00327B31" w:rsidRDefault="00327B31" w:rsidP="00327B31"/>
    <w:p w14:paraId="26C4AB34" w14:textId="77777777" w:rsidR="00327B31" w:rsidRPr="00327B31" w:rsidRDefault="00327B31" w:rsidP="00327B31"/>
    <w:p w14:paraId="4E2C36FD" w14:textId="01A7D3E3" w:rsidR="00A06938" w:rsidRPr="00A06938" w:rsidRDefault="00A06938" w:rsidP="00DE3552">
      <w:pPr>
        <w:pStyle w:val="Heading5"/>
      </w:pPr>
      <w:r w:rsidRPr="00DE3552">
        <w:t>APPENDIX</w:t>
      </w:r>
    </w:p>
    <w:p w14:paraId="1BE7BD46" w14:textId="77777777" w:rsidR="00CD686E" w:rsidRPr="00CD686E" w:rsidRDefault="00CD686E" w:rsidP="00CD686E">
      <w:pPr>
        <w:rPr>
          <w:b/>
          <w:bCs/>
          <w:lang w:val="en-US"/>
        </w:rPr>
      </w:pPr>
      <w:r w:rsidRPr="00CD686E">
        <w:rPr>
          <w:b/>
          <w:bCs/>
          <w:lang w:val="en-US"/>
        </w:rPr>
        <w:t>When variations may be warranted</w:t>
      </w:r>
    </w:p>
    <w:p w14:paraId="3EBB571D" w14:textId="77777777" w:rsidR="00CD686E" w:rsidRPr="00CD686E" w:rsidRDefault="00CD686E" w:rsidP="00CD686E">
      <w:pPr>
        <w:rPr>
          <w:lang w:val="en-GB"/>
        </w:rPr>
      </w:pPr>
      <w:r w:rsidRPr="00CD686E">
        <w:rPr>
          <w:lang w:val="en-GB"/>
        </w:rPr>
        <w:t xml:space="preserve">Where the </w:t>
      </w:r>
      <w:r w:rsidRPr="00CD686E">
        <w:rPr>
          <w:i/>
          <w:iCs/>
          <w:lang w:val="en-GB"/>
        </w:rPr>
        <w:t>Building Act 1975</w:t>
      </w:r>
      <w:r w:rsidRPr="00CD686E">
        <w:rPr>
          <w:lang w:val="en-GB"/>
        </w:rPr>
        <w:t xml:space="preserve"> does not permit an assessment manager or private certifier to exercise discretion about a matter, a person may apply to the Chief Executive to vary how the building assessment provisions apply to the building work. For example, the Chief Executive would have the power to decide an application to vary the performance criteria of a particular section of the Building Code of Australia (BCA). </w:t>
      </w:r>
    </w:p>
    <w:p w14:paraId="3409C8E1" w14:textId="77777777" w:rsidR="00CD686E" w:rsidRPr="00CD686E" w:rsidRDefault="00CD686E" w:rsidP="00CD686E">
      <w:pPr>
        <w:rPr>
          <w:b/>
          <w:bCs/>
          <w:lang w:val="en-GB"/>
        </w:rPr>
      </w:pPr>
      <w:r w:rsidRPr="00CD686E">
        <w:rPr>
          <w:b/>
          <w:bCs/>
          <w:lang w:val="en-GB"/>
        </w:rPr>
        <w:t>20 business days to decide application</w:t>
      </w:r>
    </w:p>
    <w:p w14:paraId="766C354E" w14:textId="77777777" w:rsidR="00CD686E" w:rsidRPr="00CD686E" w:rsidRDefault="00CD686E" w:rsidP="00CD686E">
      <w:pPr>
        <w:rPr>
          <w:lang w:val="en-GB"/>
        </w:rPr>
      </w:pPr>
      <w:r w:rsidRPr="00CD686E">
        <w:rPr>
          <w:lang w:val="en-GB"/>
        </w:rPr>
        <w:t xml:space="preserve">An application may be made at any time, by any person. Applications will be decided within 20 business days unless a fast-track application is requested. </w:t>
      </w:r>
    </w:p>
    <w:p w14:paraId="3045DBCF" w14:textId="77777777" w:rsidR="00CD686E" w:rsidRPr="00CD686E" w:rsidRDefault="00CD686E" w:rsidP="00CD686E">
      <w:pPr>
        <w:rPr>
          <w:b/>
          <w:bCs/>
          <w:lang w:val="en-GB"/>
        </w:rPr>
      </w:pPr>
      <w:r w:rsidRPr="00CD686E">
        <w:rPr>
          <w:b/>
          <w:bCs/>
          <w:lang w:val="en-GB"/>
        </w:rPr>
        <w:lastRenderedPageBreak/>
        <w:t>Applying for a fast-track decision</w:t>
      </w:r>
    </w:p>
    <w:p w14:paraId="030E7263" w14:textId="39DDB064" w:rsidR="00CD686E" w:rsidRPr="00CD686E" w:rsidRDefault="00CD686E" w:rsidP="00CD686E">
      <w:pPr>
        <w:rPr>
          <w:lang w:val="en-GB"/>
        </w:rPr>
      </w:pPr>
      <w:r w:rsidRPr="00CD686E">
        <w:rPr>
          <w:lang w:val="en-GB"/>
        </w:rPr>
        <w:t xml:space="preserve">Under the </w:t>
      </w:r>
      <w:r w:rsidRPr="00CD686E">
        <w:rPr>
          <w:i/>
          <w:iCs/>
          <w:lang w:val="en-GB"/>
        </w:rPr>
        <w:t>Building Act 1975</w:t>
      </w:r>
      <w:r w:rsidRPr="00CD686E">
        <w:rPr>
          <w:lang w:val="en-GB"/>
        </w:rPr>
        <w:t xml:space="preserve">, section 39, an applicant may apply to the Chief Executive to fast-track an application and decide it within 2 business days. The Chief Executive may grant or refuse the request. </w:t>
      </w:r>
      <w:r w:rsidRPr="0016414A">
        <w:rPr>
          <w:lang w:val="en-GB"/>
        </w:rPr>
        <w:t>A request for a fast-</w:t>
      </w:r>
      <w:r w:rsidRPr="00CD686E">
        <w:rPr>
          <w:lang w:val="en-GB"/>
        </w:rPr>
        <w:t xml:space="preserve">track decision must be accompanied by the fee prescribed under a </w:t>
      </w:r>
      <w:r w:rsidRPr="0016414A">
        <w:rPr>
          <w:lang w:val="en-GB"/>
        </w:rPr>
        <w:t>regulation.</w:t>
      </w:r>
    </w:p>
    <w:p w14:paraId="5C46FFCD" w14:textId="77777777" w:rsidR="00CD686E" w:rsidRPr="00CD686E" w:rsidRDefault="00CD686E" w:rsidP="00CD686E">
      <w:pPr>
        <w:rPr>
          <w:b/>
          <w:bCs/>
          <w:lang w:val="en-GB"/>
        </w:rPr>
      </w:pPr>
      <w:r w:rsidRPr="00CD686E">
        <w:rPr>
          <w:b/>
          <w:bCs/>
          <w:lang w:val="en-GB"/>
        </w:rPr>
        <w:t xml:space="preserve">Deciding on an application (sections 41, 42 and 43 of the </w:t>
      </w:r>
      <w:r w:rsidRPr="00CD686E">
        <w:rPr>
          <w:b/>
          <w:bCs/>
          <w:i/>
          <w:iCs/>
          <w:lang w:val="en-GB"/>
        </w:rPr>
        <w:t>Building Act 1975</w:t>
      </w:r>
      <w:r w:rsidRPr="00CD686E">
        <w:rPr>
          <w:b/>
          <w:bCs/>
          <w:lang w:val="en-GB"/>
        </w:rPr>
        <w:t>)</w:t>
      </w:r>
    </w:p>
    <w:p w14:paraId="2AD05263" w14:textId="77777777" w:rsidR="00CD686E" w:rsidRPr="00CD686E" w:rsidRDefault="00CD686E" w:rsidP="00CD686E">
      <w:pPr>
        <w:rPr>
          <w:lang w:val="en-GB"/>
        </w:rPr>
      </w:pPr>
      <w:r w:rsidRPr="00CD686E">
        <w:rPr>
          <w:lang w:val="en-GB"/>
        </w:rPr>
        <w:t xml:space="preserve">If building work is being or is to be carried out by or for someone other than the State, the Chief Executive must consult with the assessment manager and may consult with any other person before making a decision. The Chief Executive must decide to vary or refuse to vary how the provision applies to the building work.  </w:t>
      </w:r>
    </w:p>
    <w:p w14:paraId="14F57490" w14:textId="77777777" w:rsidR="00CD686E" w:rsidRPr="00CD686E" w:rsidRDefault="00CD686E" w:rsidP="00CD686E">
      <w:pPr>
        <w:rPr>
          <w:lang w:val="en-GB"/>
        </w:rPr>
      </w:pPr>
      <w:r w:rsidRPr="00CD686E">
        <w:rPr>
          <w:lang w:val="en-GB"/>
        </w:rPr>
        <w:t xml:space="preserve">Relevant matters for the Chief Executive to consider include – whether the building work substantially complies with other building assessment provisions; whether compliance with the provision is unnecessary in the particular circumstance; whether the proposed variation is as effective as, or more effective than compliance with the provision, and whether the variation would put the general safety and structural standards of the relevant building or structure at risk. </w:t>
      </w:r>
    </w:p>
    <w:p w14:paraId="27856E90" w14:textId="77777777" w:rsidR="00CD686E" w:rsidRPr="00CD686E" w:rsidRDefault="00CD686E" w:rsidP="00CD686E">
      <w:pPr>
        <w:rPr>
          <w:lang w:val="en-GB"/>
        </w:rPr>
      </w:pPr>
      <w:r w:rsidRPr="00CD686E">
        <w:rPr>
          <w:lang w:val="en-GB"/>
        </w:rPr>
        <w:t xml:space="preserve">The Chief Executive must, within 5 business days of deciding the variation application, give notice of the decision to the applicant and the assessment manager. If an application is refused, applicants are given information about the reason for the decision and the rights of appeal against the decision under the </w:t>
      </w:r>
      <w:r w:rsidRPr="00CD686E">
        <w:rPr>
          <w:i/>
          <w:iCs/>
          <w:lang w:val="en-GB"/>
        </w:rPr>
        <w:t>Building Act 1975</w:t>
      </w:r>
      <w:r w:rsidRPr="00CD686E">
        <w:rPr>
          <w:lang w:val="en-GB"/>
        </w:rPr>
        <w:t xml:space="preserve"> or the </w:t>
      </w:r>
      <w:r w:rsidRPr="00CD686E">
        <w:rPr>
          <w:i/>
          <w:iCs/>
          <w:lang w:val="en-GB"/>
        </w:rPr>
        <w:t>Planning Act 2016</w:t>
      </w:r>
      <w:r w:rsidRPr="00CD686E">
        <w:rPr>
          <w:lang w:val="en-GB"/>
        </w:rPr>
        <w:t>, and how an appeal can be lodged.</w:t>
      </w:r>
    </w:p>
    <w:p w14:paraId="44EF5145" w14:textId="77777777" w:rsidR="00CD686E" w:rsidRPr="00CD686E" w:rsidRDefault="00CD686E" w:rsidP="00CD686E">
      <w:pPr>
        <w:rPr>
          <w:b/>
          <w:bCs/>
          <w:lang w:val="en-GB"/>
        </w:rPr>
      </w:pPr>
      <w:r w:rsidRPr="00CD686E">
        <w:rPr>
          <w:b/>
          <w:bCs/>
          <w:lang w:val="en-GB"/>
        </w:rPr>
        <w:t>Appeals by applicants</w:t>
      </w:r>
    </w:p>
    <w:p w14:paraId="2C0D9E6E" w14:textId="77777777" w:rsidR="00CD686E" w:rsidRPr="00CD686E" w:rsidRDefault="00CD686E" w:rsidP="00CD686E">
      <w:pPr>
        <w:rPr>
          <w:lang w:val="en-GB"/>
        </w:rPr>
      </w:pPr>
      <w:r w:rsidRPr="00CD686E">
        <w:rPr>
          <w:lang w:val="en-GB"/>
        </w:rPr>
        <w:t>An appeal must be commenced within 20 business days, by lodging form 10 –Development Tribunals Appeal Notice, with the Registrar of the Tribunal.</w:t>
      </w:r>
    </w:p>
    <w:p w14:paraId="2183BE0D" w14:textId="77777777" w:rsidR="00CD686E" w:rsidRPr="00CD686E" w:rsidRDefault="00CD686E" w:rsidP="00CD686E">
      <w:pPr>
        <w:rPr>
          <w:b/>
          <w:bCs/>
          <w:lang w:val="en-GB"/>
        </w:rPr>
      </w:pPr>
      <w:r w:rsidRPr="00CD686E">
        <w:rPr>
          <w:b/>
          <w:bCs/>
          <w:lang w:val="en-GB"/>
        </w:rPr>
        <w:t>Special facilities</w:t>
      </w:r>
    </w:p>
    <w:p w14:paraId="561EB544" w14:textId="77777777" w:rsidR="00CD686E" w:rsidRPr="00CD686E" w:rsidRDefault="00CD686E" w:rsidP="00CD686E">
      <w:pPr>
        <w:rPr>
          <w:lang w:val="en-GB"/>
        </w:rPr>
      </w:pPr>
      <w:r w:rsidRPr="00CD686E">
        <w:rPr>
          <w:lang w:val="en-GB"/>
        </w:rPr>
        <w:t xml:space="preserve">Any discussions regarding the application will be held in buildings accessible by people with mobility disabilities. </w:t>
      </w:r>
    </w:p>
    <w:p w14:paraId="731CC28C" w14:textId="77777777" w:rsidR="00CD686E" w:rsidRPr="00CD686E" w:rsidRDefault="00CD686E" w:rsidP="00CD686E">
      <w:pPr>
        <w:rPr>
          <w:lang w:val="en-GB"/>
        </w:rPr>
      </w:pPr>
      <w:r w:rsidRPr="00CD686E">
        <w:rPr>
          <w:lang w:val="en-GB"/>
        </w:rPr>
        <w:t xml:space="preserve">If special services are required, such as an interpreter, please notify the Registrar in sufficient time for this to be arranged.  </w:t>
      </w:r>
    </w:p>
    <w:p w14:paraId="316074B0" w14:textId="77777777" w:rsidR="00CD686E" w:rsidRPr="00CD686E" w:rsidRDefault="00CD686E" w:rsidP="00CD686E">
      <w:pPr>
        <w:rPr>
          <w:b/>
          <w:bCs/>
          <w:lang w:val="en-GB"/>
        </w:rPr>
      </w:pPr>
      <w:r w:rsidRPr="00CD686E">
        <w:rPr>
          <w:b/>
          <w:bCs/>
          <w:lang w:val="en-GB"/>
        </w:rPr>
        <w:t xml:space="preserve">Lodgement of an Application to vary the </w:t>
      </w:r>
      <w:r w:rsidRPr="00CD686E">
        <w:rPr>
          <w:b/>
          <w:bCs/>
          <w:i/>
          <w:iCs/>
          <w:lang w:val="en-GB"/>
        </w:rPr>
        <w:t>Building Act 1975</w:t>
      </w:r>
    </w:p>
    <w:p w14:paraId="5C695948" w14:textId="77777777" w:rsidR="00CD686E" w:rsidRPr="00CD686E" w:rsidRDefault="00CD686E" w:rsidP="00CD686E">
      <w:pPr>
        <w:rPr>
          <w:lang w:val="en-GB"/>
        </w:rPr>
      </w:pPr>
      <w:r w:rsidRPr="00CD686E">
        <w:rPr>
          <w:lang w:val="en-GB"/>
        </w:rPr>
        <w:t>The original together with accompanying information and the pre. scribed application fee should be lodged with Chief Executive Officer, Department of Energy and Public Works, GPO Box 2457, Brisbane Qld 4001.</w:t>
      </w:r>
    </w:p>
    <w:p w14:paraId="5092F4B9" w14:textId="77777777" w:rsidR="00CD686E" w:rsidRPr="00CD686E" w:rsidRDefault="00CD686E" w:rsidP="00CD686E">
      <w:pPr>
        <w:rPr>
          <w:b/>
          <w:bCs/>
          <w:lang w:val="en-GB"/>
        </w:rPr>
      </w:pPr>
      <w:r w:rsidRPr="00CD686E">
        <w:rPr>
          <w:b/>
          <w:bCs/>
          <w:lang w:val="en-GB"/>
        </w:rPr>
        <w:t>Fees</w:t>
      </w:r>
    </w:p>
    <w:p w14:paraId="30C347AE" w14:textId="77777777" w:rsidR="00CD686E" w:rsidRPr="00CD686E" w:rsidRDefault="00CD686E" w:rsidP="00CD686E">
      <w:pPr>
        <w:rPr>
          <w:lang w:val="en-GB"/>
        </w:rPr>
      </w:pPr>
      <w:r w:rsidRPr="00CD686E">
        <w:rPr>
          <w:lang w:val="en-GB"/>
        </w:rPr>
        <w:t xml:space="preserve">Fees for applications are listed in the Schedule 9 in the </w:t>
      </w:r>
      <w:r w:rsidRPr="00F21704">
        <w:rPr>
          <w:lang w:val="en-GB"/>
        </w:rPr>
        <w:t>Building Regulation 2021</w:t>
      </w:r>
      <w:r w:rsidRPr="00CD686E">
        <w:rPr>
          <w:lang w:val="en-GB"/>
        </w:rPr>
        <w:t>. The application fee is non-refundable.</w:t>
      </w:r>
    </w:p>
    <w:p w14:paraId="4EA1BC52" w14:textId="77777777" w:rsidR="00CD686E" w:rsidRPr="00CD686E" w:rsidRDefault="00CD686E" w:rsidP="00CD686E">
      <w:pPr>
        <w:rPr>
          <w:b/>
          <w:bCs/>
          <w:lang w:val="en-GB"/>
        </w:rPr>
      </w:pPr>
      <w:r w:rsidRPr="00CD686E">
        <w:rPr>
          <w:b/>
          <w:bCs/>
          <w:lang w:val="en-GB"/>
        </w:rPr>
        <w:t>Lodgement of an appeal against an information notice of decision</w:t>
      </w:r>
    </w:p>
    <w:p w14:paraId="2DC27506" w14:textId="6894F61A" w:rsidR="00CD686E" w:rsidRDefault="00CD686E" w:rsidP="00CD686E">
      <w:pPr>
        <w:rPr>
          <w:lang w:val="en-GB"/>
        </w:rPr>
      </w:pPr>
      <w:r w:rsidRPr="00CD686E">
        <w:rPr>
          <w:lang w:val="en-GB"/>
        </w:rPr>
        <w:t xml:space="preserve">A completed </w:t>
      </w:r>
      <w:r w:rsidR="00F21704">
        <w:rPr>
          <w:lang w:val="en-GB"/>
        </w:rPr>
        <w:t>F</w:t>
      </w:r>
      <w:r w:rsidRPr="00CD686E">
        <w:rPr>
          <w:lang w:val="en-GB"/>
        </w:rPr>
        <w:t xml:space="preserve">orm 10 should be lodged with the Registrar at the Development Tribunals. </w:t>
      </w:r>
    </w:p>
    <w:p w14:paraId="15EEE573" w14:textId="77777777" w:rsidR="00CD686E" w:rsidRPr="00CD686E" w:rsidRDefault="00CD686E" w:rsidP="00CD686E">
      <w:pPr>
        <w:pStyle w:val="APPENDIXPBodytext-addressblock04APPENDIX"/>
        <w:contextualSpacing/>
        <w:rPr>
          <w:rFonts w:ascii="Arial" w:hAnsi="Arial" w:cs="Arial"/>
        </w:rPr>
      </w:pPr>
      <w:r w:rsidRPr="00CD686E">
        <w:rPr>
          <w:rStyle w:val="Bold"/>
          <w:rFonts w:ascii="Arial" w:hAnsi="Arial" w:cs="Arial"/>
        </w:rPr>
        <w:t>Post to</w:t>
      </w:r>
      <w:r w:rsidRPr="00CD686E">
        <w:rPr>
          <w:rFonts w:ascii="Arial" w:hAnsi="Arial" w:cs="Arial"/>
        </w:rPr>
        <w:t>:</w:t>
      </w:r>
      <w:r w:rsidRPr="00CD686E">
        <w:rPr>
          <w:rFonts w:ascii="Arial" w:hAnsi="Arial" w:cs="Arial"/>
        </w:rPr>
        <w:tab/>
        <w:t>The Registrar</w:t>
      </w:r>
      <w:r w:rsidRPr="00CD686E">
        <w:rPr>
          <w:rFonts w:ascii="Arial" w:hAnsi="Arial" w:cs="Arial"/>
        </w:rPr>
        <w:tab/>
      </w:r>
      <w:r w:rsidRPr="00CD686E">
        <w:rPr>
          <w:rStyle w:val="Bold"/>
          <w:rFonts w:ascii="Arial" w:hAnsi="Arial" w:cs="Arial"/>
        </w:rPr>
        <w:t>Telephone</w:t>
      </w:r>
      <w:r w:rsidRPr="00CD686E">
        <w:rPr>
          <w:rFonts w:ascii="Arial" w:hAnsi="Arial" w:cs="Arial"/>
        </w:rPr>
        <w:t>:</w:t>
      </w:r>
      <w:r w:rsidRPr="00CD686E">
        <w:rPr>
          <w:rFonts w:ascii="Arial" w:hAnsi="Arial" w:cs="Arial"/>
        </w:rPr>
        <w:tab/>
        <w:t>1800 804 833</w:t>
      </w:r>
    </w:p>
    <w:p w14:paraId="08E52D4B" w14:textId="77777777" w:rsidR="00CD686E" w:rsidRPr="00CD686E" w:rsidRDefault="00CD686E" w:rsidP="00CD686E">
      <w:pPr>
        <w:pStyle w:val="APPENDIXPBodytext-addressblock04APPENDIX"/>
        <w:contextualSpacing/>
        <w:rPr>
          <w:rFonts w:ascii="Arial" w:hAnsi="Arial" w:cs="Arial"/>
        </w:rPr>
      </w:pPr>
      <w:r w:rsidRPr="00CD686E">
        <w:rPr>
          <w:rFonts w:ascii="Arial" w:hAnsi="Arial" w:cs="Arial"/>
        </w:rPr>
        <w:tab/>
        <w:t>Development Tribunals</w:t>
      </w:r>
      <w:r w:rsidRPr="00CD686E">
        <w:rPr>
          <w:rFonts w:ascii="Arial" w:hAnsi="Arial" w:cs="Arial"/>
        </w:rPr>
        <w:tab/>
      </w:r>
      <w:r w:rsidRPr="00CD686E">
        <w:rPr>
          <w:rStyle w:val="Bold"/>
          <w:rFonts w:ascii="Arial" w:hAnsi="Arial" w:cs="Arial"/>
        </w:rPr>
        <w:t>Fax to</w:t>
      </w:r>
      <w:r w:rsidRPr="00CD686E">
        <w:rPr>
          <w:rFonts w:ascii="Arial" w:hAnsi="Arial" w:cs="Arial"/>
        </w:rPr>
        <w:t>:</w:t>
      </w:r>
      <w:r w:rsidRPr="00CD686E">
        <w:rPr>
          <w:rFonts w:ascii="Arial" w:hAnsi="Arial" w:cs="Arial"/>
        </w:rPr>
        <w:tab/>
        <w:t>(07) 3237 1248</w:t>
      </w:r>
    </w:p>
    <w:p w14:paraId="5B0758C8" w14:textId="77777777" w:rsidR="00CD686E" w:rsidRPr="00CD686E" w:rsidRDefault="00CD686E" w:rsidP="00CD686E">
      <w:pPr>
        <w:pStyle w:val="APPENDIXPBodytext-addressblock04APPENDIX"/>
        <w:contextualSpacing/>
        <w:rPr>
          <w:rFonts w:ascii="Arial" w:hAnsi="Arial" w:cs="Arial"/>
        </w:rPr>
      </w:pPr>
      <w:r w:rsidRPr="00CD686E">
        <w:rPr>
          <w:rFonts w:ascii="Arial" w:hAnsi="Arial" w:cs="Arial"/>
        </w:rPr>
        <w:tab/>
        <w:t>Department of Energy and Public Works</w:t>
      </w:r>
      <w:r w:rsidRPr="00CD686E">
        <w:rPr>
          <w:rFonts w:ascii="Arial" w:hAnsi="Arial" w:cs="Arial"/>
        </w:rPr>
        <w:tab/>
      </w:r>
      <w:r w:rsidRPr="00CD686E">
        <w:rPr>
          <w:rStyle w:val="Bold"/>
          <w:rFonts w:ascii="Arial" w:hAnsi="Arial" w:cs="Arial"/>
        </w:rPr>
        <w:t>Deliver to</w:t>
      </w:r>
      <w:r w:rsidRPr="00CD686E">
        <w:rPr>
          <w:rFonts w:ascii="Arial" w:hAnsi="Arial" w:cs="Arial"/>
        </w:rPr>
        <w:t>:</w:t>
      </w:r>
      <w:r w:rsidRPr="00CD686E">
        <w:rPr>
          <w:rFonts w:ascii="Arial" w:hAnsi="Arial" w:cs="Arial"/>
        </w:rPr>
        <w:tab/>
        <w:t>The Registrar</w:t>
      </w:r>
    </w:p>
    <w:p w14:paraId="43E5D5E2" w14:textId="77777777" w:rsidR="00CD686E" w:rsidRPr="00CD686E" w:rsidRDefault="00CD686E" w:rsidP="00CD686E">
      <w:pPr>
        <w:pStyle w:val="APPENDIXPBodytext-addressblock04APPENDIX"/>
        <w:contextualSpacing/>
        <w:rPr>
          <w:rFonts w:ascii="Arial" w:hAnsi="Arial" w:cs="Arial"/>
        </w:rPr>
      </w:pPr>
      <w:r w:rsidRPr="00CD686E">
        <w:rPr>
          <w:rFonts w:ascii="Arial" w:hAnsi="Arial" w:cs="Arial"/>
        </w:rPr>
        <w:tab/>
        <w:t>GPO Box 2457 BRISBANE QLD 4001</w:t>
      </w:r>
      <w:r w:rsidRPr="00CD686E">
        <w:rPr>
          <w:rFonts w:ascii="Arial" w:hAnsi="Arial" w:cs="Arial"/>
        </w:rPr>
        <w:tab/>
      </w:r>
      <w:r w:rsidRPr="00CD686E">
        <w:rPr>
          <w:rFonts w:ascii="Arial" w:hAnsi="Arial" w:cs="Arial"/>
        </w:rPr>
        <w:tab/>
        <w:t>53 Albert St</w:t>
      </w:r>
    </w:p>
    <w:p w14:paraId="634B2826" w14:textId="77777777" w:rsidR="00CD686E" w:rsidRPr="00CD686E" w:rsidRDefault="00CD686E" w:rsidP="00CD686E">
      <w:pPr>
        <w:pStyle w:val="APPENDIXPBodytext-addressblock04APPENDIX"/>
        <w:rPr>
          <w:rFonts w:ascii="Arial" w:hAnsi="Arial" w:cs="Arial"/>
        </w:rPr>
      </w:pPr>
      <w:r w:rsidRPr="00CD686E">
        <w:rPr>
          <w:rFonts w:ascii="Arial" w:hAnsi="Arial" w:cs="Arial"/>
        </w:rPr>
        <w:tab/>
      </w:r>
      <w:r w:rsidRPr="00CD686E">
        <w:rPr>
          <w:rFonts w:ascii="Arial" w:hAnsi="Arial" w:cs="Arial"/>
        </w:rPr>
        <w:tab/>
      </w:r>
      <w:r w:rsidRPr="00CD686E">
        <w:rPr>
          <w:rFonts w:ascii="Arial" w:hAnsi="Arial" w:cs="Arial"/>
        </w:rPr>
        <w:tab/>
        <w:t>BRISBANE QLD 4000</w:t>
      </w:r>
    </w:p>
    <w:p w14:paraId="55502CF8" w14:textId="460607D8" w:rsidR="00CD686E" w:rsidRPr="00CD686E" w:rsidRDefault="00CD686E" w:rsidP="00CD686E">
      <w:pPr>
        <w:pStyle w:val="APPENDIXPBodytext-addressblock04APPENDIX"/>
        <w:rPr>
          <w:rFonts w:ascii="Arial" w:hAnsi="Arial" w:cs="Arial"/>
        </w:rPr>
      </w:pPr>
      <w:r w:rsidRPr="00CD686E">
        <w:rPr>
          <w:rStyle w:val="Bold"/>
          <w:rFonts w:ascii="Arial" w:hAnsi="Arial" w:cs="Arial"/>
        </w:rPr>
        <w:t>Email to</w:t>
      </w:r>
      <w:r w:rsidRPr="00CD686E">
        <w:rPr>
          <w:rFonts w:ascii="Arial" w:hAnsi="Arial" w:cs="Arial"/>
        </w:rPr>
        <w:t>:</w:t>
      </w:r>
      <w:r>
        <w:rPr>
          <w:rFonts w:ascii="Arial" w:hAnsi="Arial" w:cs="Arial"/>
        </w:rPr>
        <w:t xml:space="preserve"> </w:t>
      </w:r>
      <w:r w:rsidRPr="00CD686E">
        <w:rPr>
          <w:rStyle w:val="Hyperlink"/>
          <w:rFonts w:ascii="Arial" w:hAnsi="Arial" w:cs="Arial"/>
        </w:rPr>
        <w:t>registrar@qld.gov.au</w:t>
      </w:r>
    </w:p>
    <w:p w14:paraId="028D2874" w14:textId="77777777" w:rsidR="00EC533C" w:rsidRPr="00952B0F" w:rsidRDefault="00EC533C" w:rsidP="00EC533C">
      <w:pPr>
        <w:rPr>
          <w:color w:val="0070C0"/>
        </w:rPr>
      </w:pPr>
    </w:p>
    <w:p w14:paraId="7C55AD7F" w14:textId="77777777" w:rsidR="00EC533C" w:rsidRPr="00952B0F" w:rsidRDefault="00EC533C" w:rsidP="00EC533C">
      <w:pPr>
        <w:rPr>
          <w:b/>
          <w:bCs/>
        </w:rPr>
      </w:pPr>
      <w:r w:rsidRPr="00952B0F">
        <w:rPr>
          <w:b/>
          <w:bCs/>
        </w:rPr>
        <w:t>PRIVACY NOTICE</w:t>
      </w:r>
    </w:p>
    <w:p w14:paraId="7722DA02" w14:textId="11512F1D" w:rsidR="00344FAA" w:rsidRPr="00901754" w:rsidRDefault="00EC533C" w:rsidP="00222961">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ED1052">
      <w:footerReference w:type="default" r:id="rId11"/>
      <w:headerReference w:type="first" r:id="rId12"/>
      <w:footerReference w:type="first" r:id="rId13"/>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34D60" w14:textId="77777777" w:rsidR="00EC34DE" w:rsidRDefault="00EC34DE" w:rsidP="00F752DB">
      <w:pPr>
        <w:spacing w:after="0" w:line="240" w:lineRule="auto"/>
      </w:pPr>
      <w:r>
        <w:separator/>
      </w:r>
    </w:p>
  </w:endnote>
  <w:endnote w:type="continuationSeparator" w:id="0">
    <w:p w14:paraId="25378139" w14:textId="77777777" w:rsidR="00EC34DE" w:rsidRDefault="00EC34DE"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7EC0614C" w:rsidR="00370878" w:rsidRPr="00A74FB6" w:rsidRDefault="00A74FB6" w:rsidP="00A74FB6">
    <w:pPr>
      <w:pStyle w:val="Footer"/>
      <w:pBdr>
        <w:top w:val="single" w:sz="4" w:space="8" w:color="C00000"/>
      </w:pBdr>
      <w:tabs>
        <w:tab w:val="clear" w:pos="9026"/>
        <w:tab w:val="right" w:pos="10205"/>
      </w:tabs>
      <w:spacing w:before="360"/>
      <w:contextualSpacing/>
      <w:rPr>
        <w:noProof/>
        <w:color w:val="404040" w:themeColor="text1" w:themeTint="BF"/>
      </w:rPr>
    </w:pPr>
    <w:r w:rsidRPr="00A74FB6">
      <w:rPr>
        <w:i/>
        <w:iCs/>
        <w:noProof/>
        <w:color w:val="404040" w:themeColor="text1" w:themeTint="BF"/>
      </w:rPr>
      <w:t>Building Act 1975  •  </w:t>
    </w:r>
    <w:r w:rsidR="00FC6ECA" w:rsidRPr="00FC6ECA">
      <w:rPr>
        <w:noProof/>
        <w:color w:val="404040" w:themeColor="text1" w:themeTint="BF"/>
      </w:rPr>
      <w:t>Section 38 and 39 • Form 9 • Version 4 • September 2021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6853F45F" w:rsidR="00AF76E0" w:rsidRPr="00982200" w:rsidRDefault="00982200" w:rsidP="00982200">
    <w:pPr>
      <w:pStyle w:val="Footer"/>
      <w:pBdr>
        <w:top w:val="single" w:sz="4" w:space="8" w:color="C00000"/>
      </w:pBdr>
      <w:tabs>
        <w:tab w:val="clear" w:pos="9026"/>
        <w:tab w:val="right" w:pos="10205"/>
      </w:tabs>
      <w:spacing w:before="360"/>
      <w:contextualSpacing/>
      <w:rPr>
        <w:noProof/>
        <w:color w:val="404040" w:themeColor="text1" w:themeTint="BF"/>
      </w:rPr>
    </w:pPr>
    <w:r w:rsidRPr="0085238F">
      <w:rPr>
        <w:i/>
        <w:iCs/>
        <w:noProof/>
        <w:color w:val="404040" w:themeColor="text1" w:themeTint="BF"/>
      </w:rPr>
      <w:t>Building Act 1975</w:t>
    </w:r>
    <w:r w:rsidRPr="00643FA4">
      <w:rPr>
        <w:noProof/>
        <w:color w:val="404040" w:themeColor="text1" w:themeTint="BF"/>
      </w:rPr>
      <w:t xml:space="preserve"> • </w:t>
    </w:r>
    <w:r w:rsidR="00FC6ECA" w:rsidRPr="00FC6ECA">
      <w:rPr>
        <w:noProof/>
        <w:color w:val="404040" w:themeColor="text1" w:themeTint="BF"/>
      </w:rPr>
      <w:t>Section 38 and 39 • Form 9 • Version 4 • September 2021</w:t>
    </w:r>
    <w:r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01469" w14:textId="77777777" w:rsidR="00EC34DE" w:rsidRDefault="00EC34DE" w:rsidP="00F752DB">
      <w:pPr>
        <w:spacing w:after="0" w:line="240" w:lineRule="auto"/>
      </w:pPr>
      <w:r>
        <w:separator/>
      </w:r>
    </w:p>
  </w:footnote>
  <w:footnote w:type="continuationSeparator" w:id="0">
    <w:p w14:paraId="459CCBB3" w14:textId="77777777" w:rsidR="00EC34DE" w:rsidRDefault="00EC34DE"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FAFA" w14:textId="36A8DBC5" w:rsidR="001C6D8A" w:rsidRPr="001E5DDB" w:rsidRDefault="00ED1052" w:rsidP="001C6D8A">
    <w:pPr>
      <w:pStyle w:val="Header"/>
      <w:tabs>
        <w:tab w:val="left" w:pos="1701"/>
      </w:tabs>
      <w:rPr>
        <w:bCs/>
        <w:i/>
        <w:iCs/>
        <w:sz w:val="32"/>
        <w:szCs w:val="32"/>
        <w:lang w:val="en-GB"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r>
      <w:rPr>
        <w:b/>
        <w:color w:val="FFFFFF" w:themeColor="background1"/>
        <w:sz w:val="32"/>
        <w:szCs w:val="32"/>
        <w:lang w:bidi="en-US"/>
      </w:rPr>
      <w:br/>
    </w:r>
    <w:r w:rsidR="00AF76E0" w:rsidRPr="00ED1052">
      <w:rPr>
        <w:b/>
        <w:color w:val="FFFFFF" w:themeColor="background1"/>
        <w:sz w:val="32"/>
        <w:szCs w:val="32"/>
        <w:lang w:bidi="en-US"/>
      </w:rPr>
      <w:t xml:space="preserve">Form </w:t>
    </w:r>
    <w:r w:rsidR="001E5DDB">
      <w:rPr>
        <w:b/>
        <w:color w:val="FFFFFF" w:themeColor="background1"/>
        <w:sz w:val="32"/>
        <w:szCs w:val="32"/>
        <w:lang w:bidi="en-US"/>
      </w:rPr>
      <w:t>9</w:t>
    </w:r>
    <w:r>
      <w:rPr>
        <w:b/>
        <w:color w:val="A70240" w:themeColor="accent1"/>
        <w:sz w:val="32"/>
        <w:szCs w:val="32"/>
        <w:lang w:bidi="en-US"/>
      </w:rPr>
      <w:tab/>
    </w:r>
    <w:r w:rsidR="001E5DDB">
      <w:rPr>
        <w:bCs/>
        <w:sz w:val="32"/>
        <w:szCs w:val="32"/>
        <w:lang w:val="en-GB" w:bidi="en-US"/>
      </w:rPr>
      <w:t>A</w:t>
    </w:r>
    <w:r w:rsidR="001E5DDB" w:rsidRPr="001E5DDB">
      <w:rPr>
        <w:bCs/>
        <w:sz w:val="32"/>
        <w:szCs w:val="32"/>
        <w:lang w:val="en-GB" w:bidi="en-US"/>
      </w:rPr>
      <w:t xml:space="preserve">pplication to vary the </w:t>
    </w:r>
    <w:r w:rsidR="001E5DDB" w:rsidRPr="001E5DDB">
      <w:rPr>
        <w:bCs/>
        <w:i/>
        <w:iCs/>
        <w:sz w:val="32"/>
        <w:szCs w:val="32"/>
        <w:lang w:val="en-GB" w:bidi="en-US"/>
      </w:rPr>
      <w:t>Building Act 1975</w:t>
    </w:r>
  </w:p>
  <w:p w14:paraId="0EAFD908" w14:textId="3DBFF46E" w:rsidR="00AF76E0" w:rsidRPr="00901754" w:rsidRDefault="00AF76E0" w:rsidP="001C6D8A">
    <w:pPr>
      <w:pStyle w:val="Header"/>
      <w:tabs>
        <w:tab w:val="left" w:pos="1701"/>
      </w:tabs>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2"/>
  </w:num>
  <w:num w:numId="4">
    <w:abstractNumId w:val="19"/>
  </w:num>
  <w:num w:numId="5">
    <w:abstractNumId w:val="5"/>
  </w:num>
  <w:num w:numId="6">
    <w:abstractNumId w:val="6"/>
  </w:num>
  <w:num w:numId="7">
    <w:abstractNumId w:val="8"/>
  </w:num>
  <w:num w:numId="8">
    <w:abstractNumId w:val="11"/>
  </w:num>
  <w:num w:numId="9">
    <w:abstractNumId w:val="17"/>
  </w:num>
  <w:num w:numId="10">
    <w:abstractNumId w:val="0"/>
  </w:num>
  <w:num w:numId="11">
    <w:abstractNumId w:val="10"/>
  </w:num>
  <w:num w:numId="12">
    <w:abstractNumId w:val="16"/>
  </w:num>
  <w:num w:numId="13">
    <w:abstractNumId w:val="15"/>
  </w:num>
  <w:num w:numId="14">
    <w:abstractNumId w:val="2"/>
  </w:num>
  <w:num w:numId="15">
    <w:abstractNumId w:val="18"/>
  </w:num>
  <w:num w:numId="16">
    <w:abstractNumId w:val="13"/>
  </w:num>
  <w:num w:numId="17">
    <w:abstractNumId w:val="9"/>
  </w:num>
  <w:num w:numId="18">
    <w:abstractNumId w:val="1"/>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14DBA"/>
    <w:rsid w:val="00050534"/>
    <w:rsid w:val="000526CE"/>
    <w:rsid w:val="00071234"/>
    <w:rsid w:val="000877DD"/>
    <w:rsid w:val="000B6D47"/>
    <w:rsid w:val="000E2C63"/>
    <w:rsid w:val="000F014F"/>
    <w:rsid w:val="000F4BE1"/>
    <w:rsid w:val="00105D9D"/>
    <w:rsid w:val="00115C71"/>
    <w:rsid w:val="001204C3"/>
    <w:rsid w:val="00142FC9"/>
    <w:rsid w:val="0015259F"/>
    <w:rsid w:val="0016414A"/>
    <w:rsid w:val="00172C66"/>
    <w:rsid w:val="00183191"/>
    <w:rsid w:val="00184AA3"/>
    <w:rsid w:val="00194726"/>
    <w:rsid w:val="001A3869"/>
    <w:rsid w:val="001B5456"/>
    <w:rsid w:val="001C6D8A"/>
    <w:rsid w:val="001E5DDB"/>
    <w:rsid w:val="001F2C82"/>
    <w:rsid w:val="00222961"/>
    <w:rsid w:val="002E61C0"/>
    <w:rsid w:val="002F59CF"/>
    <w:rsid w:val="00327B31"/>
    <w:rsid w:val="00341D35"/>
    <w:rsid w:val="00344FAA"/>
    <w:rsid w:val="00370878"/>
    <w:rsid w:val="00381F07"/>
    <w:rsid w:val="0038526A"/>
    <w:rsid w:val="003A1CD0"/>
    <w:rsid w:val="003F29CF"/>
    <w:rsid w:val="004A0CF6"/>
    <w:rsid w:val="00510B85"/>
    <w:rsid w:val="00536907"/>
    <w:rsid w:val="00552E42"/>
    <w:rsid w:val="00577929"/>
    <w:rsid w:val="00584307"/>
    <w:rsid w:val="005A7EB2"/>
    <w:rsid w:val="005D7B67"/>
    <w:rsid w:val="005F0C63"/>
    <w:rsid w:val="00610D79"/>
    <w:rsid w:val="0063381A"/>
    <w:rsid w:val="00641D20"/>
    <w:rsid w:val="00643FA4"/>
    <w:rsid w:val="00673C5E"/>
    <w:rsid w:val="006E2A27"/>
    <w:rsid w:val="00701011"/>
    <w:rsid w:val="00745DBC"/>
    <w:rsid w:val="00750EEE"/>
    <w:rsid w:val="00756155"/>
    <w:rsid w:val="0077640B"/>
    <w:rsid w:val="007A7AD0"/>
    <w:rsid w:val="008041C4"/>
    <w:rsid w:val="00813AE9"/>
    <w:rsid w:val="00847102"/>
    <w:rsid w:val="0085238F"/>
    <w:rsid w:val="00901754"/>
    <w:rsid w:val="00912A14"/>
    <w:rsid w:val="00982200"/>
    <w:rsid w:val="009908A1"/>
    <w:rsid w:val="009A29B8"/>
    <w:rsid w:val="009C6482"/>
    <w:rsid w:val="00A06938"/>
    <w:rsid w:val="00A253AD"/>
    <w:rsid w:val="00A27E02"/>
    <w:rsid w:val="00A601E2"/>
    <w:rsid w:val="00A74FB6"/>
    <w:rsid w:val="00A76886"/>
    <w:rsid w:val="00A958BB"/>
    <w:rsid w:val="00AB0F2F"/>
    <w:rsid w:val="00AF76E0"/>
    <w:rsid w:val="00B16FED"/>
    <w:rsid w:val="00B23DB7"/>
    <w:rsid w:val="00B309ED"/>
    <w:rsid w:val="00B33273"/>
    <w:rsid w:val="00B428F6"/>
    <w:rsid w:val="00B45D6D"/>
    <w:rsid w:val="00B6504B"/>
    <w:rsid w:val="00B9367E"/>
    <w:rsid w:val="00BB38AF"/>
    <w:rsid w:val="00BB4793"/>
    <w:rsid w:val="00BD427A"/>
    <w:rsid w:val="00BF6763"/>
    <w:rsid w:val="00C05061"/>
    <w:rsid w:val="00C54CF3"/>
    <w:rsid w:val="00C975C7"/>
    <w:rsid w:val="00CA3039"/>
    <w:rsid w:val="00CC08E2"/>
    <w:rsid w:val="00CC6DFE"/>
    <w:rsid w:val="00CD686E"/>
    <w:rsid w:val="00D219EC"/>
    <w:rsid w:val="00D421F8"/>
    <w:rsid w:val="00D94D5F"/>
    <w:rsid w:val="00DB37AA"/>
    <w:rsid w:val="00DC725A"/>
    <w:rsid w:val="00DE3552"/>
    <w:rsid w:val="00E01BCC"/>
    <w:rsid w:val="00E324C3"/>
    <w:rsid w:val="00E37618"/>
    <w:rsid w:val="00E44618"/>
    <w:rsid w:val="00E746E4"/>
    <w:rsid w:val="00E85124"/>
    <w:rsid w:val="00E85F62"/>
    <w:rsid w:val="00EC34DE"/>
    <w:rsid w:val="00EC533C"/>
    <w:rsid w:val="00ED1052"/>
    <w:rsid w:val="00EE7E15"/>
    <w:rsid w:val="00EF6630"/>
    <w:rsid w:val="00EF6B09"/>
    <w:rsid w:val="00F05A04"/>
    <w:rsid w:val="00F21704"/>
    <w:rsid w:val="00F62288"/>
    <w:rsid w:val="00F752DB"/>
    <w:rsid w:val="00F81DE9"/>
    <w:rsid w:val="00F905BC"/>
    <w:rsid w:val="00F919C6"/>
    <w:rsid w:val="00FB7ACB"/>
    <w:rsid w:val="00FC6ECA"/>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68ABFE482B4EC0BA607E3179B138E6"/>
        <w:category>
          <w:name w:val="General"/>
          <w:gallery w:val="placeholder"/>
        </w:category>
        <w:types>
          <w:type w:val="bbPlcHdr"/>
        </w:types>
        <w:behaviors>
          <w:behavior w:val="content"/>
        </w:behaviors>
        <w:guid w:val="{DC53C038-4EE8-444A-AA3C-1F434375D6CC}"/>
      </w:docPartPr>
      <w:docPartBody>
        <w:p w:rsidR="003A5D14" w:rsidRDefault="00B201BE" w:rsidP="00B201BE">
          <w:pPr>
            <w:pStyle w:val="0E68ABFE482B4EC0BA607E3179B138E6"/>
          </w:pPr>
          <w:r w:rsidRPr="009F77E8">
            <w:rPr>
              <w:rStyle w:val="PlaceholderText"/>
            </w:rPr>
            <w:t>Click or tap to enter a date.</w:t>
          </w:r>
        </w:p>
      </w:docPartBody>
    </w:docPart>
    <w:docPart>
      <w:docPartPr>
        <w:name w:val="1CA36924FEA243C9B1BEEC863739DD5F"/>
        <w:category>
          <w:name w:val="General"/>
          <w:gallery w:val="placeholder"/>
        </w:category>
        <w:types>
          <w:type w:val="bbPlcHdr"/>
        </w:types>
        <w:behaviors>
          <w:behavior w:val="content"/>
        </w:behaviors>
        <w:guid w:val="{C90B04E7-B768-4E5A-B939-AAAC481065A0}"/>
      </w:docPartPr>
      <w:docPartBody>
        <w:p w:rsidR="000E01E9" w:rsidRDefault="00665392" w:rsidP="00665392">
          <w:pPr>
            <w:pStyle w:val="1CA36924FEA243C9B1BEEC863739DD5F"/>
          </w:pPr>
          <w:r w:rsidRPr="009F77E8">
            <w:rPr>
              <w:rStyle w:val="PlaceholderText"/>
            </w:rPr>
            <w:t>Choose an item.</w:t>
          </w:r>
        </w:p>
      </w:docPartBody>
    </w:docPart>
    <w:docPart>
      <w:docPartPr>
        <w:name w:val="44E7DC8E629A466497A39993A4A322E9"/>
        <w:category>
          <w:name w:val="General"/>
          <w:gallery w:val="placeholder"/>
        </w:category>
        <w:types>
          <w:type w:val="bbPlcHdr"/>
        </w:types>
        <w:behaviors>
          <w:behavior w:val="content"/>
        </w:behaviors>
        <w:guid w:val="{77C51532-0C9E-4B55-84E4-EBEE41D84ACB}"/>
      </w:docPartPr>
      <w:docPartBody>
        <w:p w:rsidR="000E01E9" w:rsidRDefault="00665392" w:rsidP="00665392">
          <w:pPr>
            <w:pStyle w:val="44E7DC8E629A466497A39993A4A322E9"/>
          </w:pPr>
          <w:r w:rsidRPr="009F77E8">
            <w:rPr>
              <w:rStyle w:val="PlaceholderText"/>
            </w:rPr>
            <w:t>Choose an item.</w:t>
          </w:r>
        </w:p>
      </w:docPartBody>
    </w:docPart>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300E0" w:rsidRDefault="001442C7" w:rsidP="001442C7">
          <w:pPr>
            <w:pStyle w:val="19D9C60ACE24C74AB51C47E1CA19BF61"/>
          </w:pPr>
          <w:r w:rsidRPr="009F77E8">
            <w:rPr>
              <w:rStyle w:val="PlaceholderText"/>
            </w:rPr>
            <w:t>Choose an item.</w:t>
          </w:r>
        </w:p>
      </w:docPartBody>
    </w:docPart>
    <w:docPart>
      <w:docPartPr>
        <w:name w:val="5D3CF6ED948AA4469BC60EA85EBDDA22"/>
        <w:category>
          <w:name w:val="General"/>
          <w:gallery w:val="placeholder"/>
        </w:category>
        <w:types>
          <w:type w:val="bbPlcHdr"/>
        </w:types>
        <w:behaviors>
          <w:behavior w:val="content"/>
        </w:behaviors>
        <w:guid w:val="{96B0AFC0-86B1-FC49-AB96-4B6840A2B534}"/>
      </w:docPartPr>
      <w:docPartBody>
        <w:p w:rsidR="005300E0" w:rsidRDefault="001442C7" w:rsidP="001442C7">
          <w:pPr>
            <w:pStyle w:val="5D3CF6ED948AA4469BC60EA85EBDDA22"/>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E01E9"/>
    <w:rsid w:val="00122C62"/>
    <w:rsid w:val="001442C7"/>
    <w:rsid w:val="003A5D14"/>
    <w:rsid w:val="005300E0"/>
    <w:rsid w:val="005A1876"/>
    <w:rsid w:val="005D2B5F"/>
    <w:rsid w:val="00640EE1"/>
    <w:rsid w:val="00665392"/>
    <w:rsid w:val="00961BC3"/>
    <w:rsid w:val="00AA77B5"/>
    <w:rsid w:val="00B201BE"/>
    <w:rsid w:val="00C97284"/>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42C7"/>
    <w:rPr>
      <w:color w:val="808080"/>
    </w:rPr>
  </w:style>
  <w:style w:type="paragraph" w:customStyle="1" w:styleId="0E68ABFE482B4EC0BA607E3179B138E6">
    <w:name w:val="0E68ABFE482B4EC0BA607E3179B138E6"/>
    <w:rsid w:val="00B201BE"/>
  </w:style>
  <w:style w:type="paragraph" w:customStyle="1" w:styleId="1CA36924FEA243C9B1BEEC863739DD5F">
    <w:name w:val="1CA36924FEA243C9B1BEEC863739DD5F"/>
    <w:rsid w:val="00665392"/>
  </w:style>
  <w:style w:type="paragraph" w:customStyle="1" w:styleId="44E7DC8E629A466497A39993A4A322E9">
    <w:name w:val="44E7DC8E629A466497A39993A4A322E9"/>
    <w:rsid w:val="00665392"/>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5D3CF6ED948AA4469BC60EA85EBDDA22">
    <w:name w:val="5D3CF6ED948AA4469BC60EA85EBDDA22"/>
    <w:rsid w:val="001442C7"/>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EE907E-425F-4360-8998-7E3557C5AC69}">
  <ds:schemaRef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4.xml><?xml version="1.0" encoding="utf-8"?>
<ds:datastoreItem xmlns:ds="http://schemas.openxmlformats.org/officeDocument/2006/customXml" ds:itemID="{7F07BD6F-4625-CA46-8B29-91E36908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9 Application to vary the Building Act 1975</vt:lpstr>
    </vt:vector>
  </TitlesOfParts>
  <Company>Queensland Government</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 Application to vary the Building Act 1975</dc:title>
  <dc:subject>Form 9 Application to vary the Building Act 1975</dc:subject>
  <dc:creator>Queensland Government</dc:creator>
  <cp:keywords>Form 9, building certifier, building work</cp:keywords>
  <dc:description/>
  <cp:lastModifiedBy>Alisha Withers</cp:lastModifiedBy>
  <cp:revision>3</cp:revision>
  <cp:lastPrinted>2019-01-24T00:45:00Z</cp:lastPrinted>
  <dcterms:created xsi:type="dcterms:W3CDTF">2021-08-30T23:58:00Z</dcterms:created>
  <dcterms:modified xsi:type="dcterms:W3CDTF">2021-08-31T00:38:00Z</dcterms:modified>
</cp:coreProperties>
</file>